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97E69D8" w:rsidR="00BF19A7" w:rsidRDefault="00BF19A7" w:rsidP="00BF19A7">
      <w:pPr>
        <w:ind w:right="-279"/>
        <w:rPr>
          <w:rFonts w:ascii="Arial" w:hAnsi="Arial" w:cs="Arial"/>
          <w:bCs/>
          <w:sz w:val="28"/>
          <w:szCs w:val="28"/>
          <w:lang w:val="el-GR"/>
        </w:rPr>
      </w:pPr>
    </w:p>
    <w:p w14:paraId="43C0DBBE" w14:textId="55D6129E" w:rsidR="00827429" w:rsidRPr="00883191" w:rsidRDefault="00827429" w:rsidP="00827429">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3525A8D7" w14:textId="3520D185" w:rsidR="00BF19A7" w:rsidRPr="00883191" w:rsidRDefault="00B76E51" w:rsidP="00BF19A7">
      <w:pPr>
        <w:ind w:right="-279"/>
        <w:jc w:val="right"/>
        <w:rPr>
          <w:rFonts w:ascii="Arial" w:hAnsi="Arial" w:cs="Arial"/>
          <w:bCs/>
          <w:sz w:val="28"/>
          <w:szCs w:val="28"/>
          <w:lang w:val="el-GR"/>
        </w:rPr>
      </w:pPr>
      <w:r>
        <w:rPr>
          <w:rFonts w:ascii="Arial" w:hAnsi="Arial" w:cs="Arial"/>
          <w:bCs/>
          <w:sz w:val="28"/>
          <w:szCs w:val="28"/>
          <w:lang w:val="el-GR"/>
        </w:rPr>
        <w:t xml:space="preserve">Πολιτική Έφεση </w:t>
      </w:r>
      <w:r w:rsidR="00436947">
        <w:rPr>
          <w:rFonts w:ascii="Arial" w:hAnsi="Arial" w:cs="Arial"/>
          <w:bCs/>
          <w:sz w:val="28"/>
          <w:szCs w:val="28"/>
          <w:lang w:val="el-GR"/>
        </w:rPr>
        <w:t xml:space="preserve">Αρ. </w:t>
      </w:r>
      <w:r w:rsidR="00592D1C">
        <w:rPr>
          <w:rFonts w:ascii="Arial" w:hAnsi="Arial" w:cs="Arial"/>
          <w:bCs/>
          <w:sz w:val="28"/>
          <w:szCs w:val="28"/>
          <w:lang w:val="el-GR"/>
        </w:rPr>
        <w:t>3</w:t>
      </w:r>
      <w:r w:rsidR="00726B51">
        <w:rPr>
          <w:rFonts w:ascii="Arial" w:hAnsi="Arial" w:cs="Arial"/>
          <w:bCs/>
          <w:sz w:val="28"/>
          <w:szCs w:val="28"/>
          <w:lang w:val="el-GR"/>
        </w:rPr>
        <w:t>8</w:t>
      </w:r>
      <w:r w:rsidR="00BF19A7" w:rsidRPr="00883191">
        <w:rPr>
          <w:rFonts w:ascii="Arial" w:hAnsi="Arial" w:cs="Arial"/>
          <w:bCs/>
          <w:sz w:val="28"/>
          <w:szCs w:val="28"/>
          <w:lang w:val="el-GR"/>
        </w:rPr>
        <w:t>/202</w:t>
      </w:r>
      <w:r w:rsidR="00592D1C">
        <w:rPr>
          <w:rFonts w:ascii="Arial" w:hAnsi="Arial" w:cs="Arial"/>
          <w:bCs/>
          <w:sz w:val="28"/>
          <w:szCs w:val="28"/>
          <w:lang w:val="el-GR"/>
        </w:rPr>
        <w:t>2</w:t>
      </w:r>
    </w:p>
    <w:p w14:paraId="081168B9" w14:textId="77777777" w:rsidR="00BF19A7" w:rsidRPr="00F940CD" w:rsidRDefault="00BF19A7" w:rsidP="00BF19A7">
      <w:pPr>
        <w:ind w:right="-279"/>
        <w:jc w:val="right"/>
        <w:rPr>
          <w:rFonts w:ascii="Arial" w:hAnsi="Arial" w:cs="Arial"/>
          <w:bCs/>
          <w:i/>
          <w:sz w:val="28"/>
          <w:szCs w:val="28"/>
          <w:lang w:val="el-GR"/>
        </w:rPr>
      </w:pPr>
    </w:p>
    <w:p w14:paraId="49FB8B75" w14:textId="77777777" w:rsidR="00436947" w:rsidRDefault="00436947" w:rsidP="00F940CD">
      <w:pPr>
        <w:ind w:right="-279"/>
        <w:jc w:val="center"/>
        <w:rPr>
          <w:rFonts w:ascii="Arial" w:hAnsi="Arial" w:cs="Arial"/>
          <w:bCs/>
          <w:sz w:val="28"/>
          <w:szCs w:val="28"/>
          <w:lang w:val="el-GR"/>
        </w:rPr>
      </w:pPr>
    </w:p>
    <w:p w14:paraId="1EEB355C" w14:textId="173F8208" w:rsidR="00BF19A7" w:rsidRDefault="00981A4A" w:rsidP="002C1582">
      <w:pPr>
        <w:ind w:right="-279"/>
        <w:jc w:val="center"/>
        <w:rPr>
          <w:rFonts w:ascii="Arial" w:hAnsi="Arial" w:cs="Arial"/>
          <w:bCs/>
          <w:sz w:val="28"/>
          <w:szCs w:val="28"/>
          <w:lang w:val="el-GR"/>
        </w:rPr>
      </w:pPr>
      <w:r w:rsidRPr="002B1606">
        <w:rPr>
          <w:rFonts w:ascii="Arial" w:hAnsi="Arial" w:cs="Arial"/>
          <w:bCs/>
          <w:sz w:val="28"/>
          <w:szCs w:val="28"/>
          <w:lang w:val="el-GR"/>
        </w:rPr>
        <w:t xml:space="preserve"> </w:t>
      </w:r>
      <w:r w:rsidR="00015D09">
        <w:rPr>
          <w:rFonts w:ascii="Arial" w:hAnsi="Arial" w:cs="Arial"/>
          <w:bCs/>
          <w:sz w:val="28"/>
          <w:szCs w:val="28"/>
          <w:lang w:val="el-GR"/>
        </w:rPr>
        <w:t xml:space="preserve">19 </w:t>
      </w:r>
      <w:r w:rsidR="00726B51">
        <w:rPr>
          <w:rFonts w:ascii="Arial" w:hAnsi="Arial" w:cs="Arial"/>
          <w:bCs/>
          <w:sz w:val="28"/>
          <w:szCs w:val="28"/>
          <w:lang w:val="el-GR"/>
        </w:rPr>
        <w:t>Οκτωβρίου</w:t>
      </w:r>
      <w:r w:rsidR="00F940CD" w:rsidRPr="00F940CD">
        <w:rPr>
          <w:rFonts w:ascii="Arial" w:hAnsi="Arial" w:cs="Arial"/>
          <w:bCs/>
          <w:sz w:val="28"/>
          <w:szCs w:val="28"/>
          <w:lang w:val="el-GR"/>
        </w:rPr>
        <w:t xml:space="preserve"> 2023</w:t>
      </w:r>
    </w:p>
    <w:p w14:paraId="7C020D9B" w14:textId="77777777" w:rsidR="00436947" w:rsidRPr="00F940CD" w:rsidRDefault="00436947" w:rsidP="002C1582">
      <w:pPr>
        <w:ind w:right="-279"/>
        <w:jc w:val="center"/>
        <w:rPr>
          <w:rFonts w:ascii="Arial" w:hAnsi="Arial" w:cs="Arial"/>
          <w:bCs/>
          <w:sz w:val="28"/>
          <w:szCs w:val="28"/>
          <w:lang w:val="el-GR"/>
        </w:rPr>
      </w:pPr>
    </w:p>
    <w:p w14:paraId="2D5B0DD4" w14:textId="77777777" w:rsidR="00F940CD" w:rsidRPr="00F940CD" w:rsidRDefault="00F940CD" w:rsidP="002C1582">
      <w:pPr>
        <w:ind w:right="-279"/>
        <w:jc w:val="center"/>
        <w:rPr>
          <w:rFonts w:ascii="Arial" w:hAnsi="Arial" w:cs="Arial"/>
          <w:bCs/>
          <w:sz w:val="28"/>
          <w:szCs w:val="28"/>
          <w:lang w:val="el-GR"/>
        </w:rPr>
      </w:pPr>
    </w:p>
    <w:p w14:paraId="406AD995" w14:textId="7779489D" w:rsidR="00BF19A7" w:rsidRPr="00F940CD" w:rsidRDefault="00883191" w:rsidP="002C1582">
      <w:pPr>
        <w:ind w:right="-279"/>
        <w:jc w:val="center"/>
        <w:rPr>
          <w:rFonts w:ascii="Arial" w:hAnsi="Arial" w:cs="Arial"/>
          <w:bCs/>
          <w:sz w:val="28"/>
          <w:szCs w:val="28"/>
          <w:lang w:val="el-GR"/>
        </w:rPr>
      </w:pPr>
      <w:r w:rsidRPr="00F940CD">
        <w:rPr>
          <w:rFonts w:ascii="Arial" w:hAnsi="Arial" w:cs="Arial"/>
          <w:bCs/>
          <w:sz w:val="28"/>
          <w:szCs w:val="28"/>
          <w:lang w:val="el-GR"/>
        </w:rPr>
        <w:t>[</w:t>
      </w:r>
      <w:r w:rsidR="00726B51">
        <w:rPr>
          <w:rFonts w:ascii="Arial" w:hAnsi="Arial" w:cs="Arial"/>
          <w:bCs/>
          <w:sz w:val="28"/>
          <w:szCs w:val="28"/>
          <w:lang w:val="el-GR"/>
        </w:rPr>
        <w:t xml:space="preserve">ΓΙΑΣΕΜΗΣ,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592D1C" w:rsidRPr="00592D1C">
        <w:rPr>
          <w:rFonts w:ascii="Arial" w:hAnsi="Arial" w:cs="Arial"/>
          <w:sz w:val="28"/>
          <w:szCs w:val="28"/>
          <w:lang w:val="el-GR"/>
        </w:rPr>
        <w:t xml:space="preserve">ΙΩΑΝΝΙΔΗΣ, </w:t>
      </w:r>
      <w:r w:rsidR="00592D1C" w:rsidRPr="00C45B47">
        <w:rPr>
          <w:rFonts w:ascii="Arial" w:hAnsi="Arial" w:cs="Arial"/>
          <w:sz w:val="28"/>
          <w:szCs w:val="28"/>
          <w:lang w:val="el-GR"/>
        </w:rPr>
        <w:t>ΕΦΡΑΙΜ</w:t>
      </w:r>
      <w:r w:rsidR="00592D1C">
        <w:rPr>
          <w:rFonts w:ascii="Arial" w:hAnsi="Arial" w:cs="Arial"/>
          <w:sz w:val="28"/>
          <w:szCs w:val="28"/>
          <w:lang w:val="el-GR"/>
        </w:rPr>
        <w:t>, ΔΑΥΙΔ, Δ</w:t>
      </w:r>
      <w:r w:rsidR="00592D1C" w:rsidRPr="00C45B47">
        <w:rPr>
          <w:rFonts w:ascii="Arial" w:hAnsi="Arial" w:cs="Arial"/>
          <w:sz w:val="28"/>
          <w:szCs w:val="28"/>
          <w:lang w:val="el-GR"/>
        </w:rPr>
        <w:t>/</w:t>
      </w:r>
      <w:r w:rsidR="00592D1C">
        <w:rPr>
          <w:rFonts w:ascii="Arial" w:hAnsi="Arial" w:cs="Arial"/>
          <w:sz w:val="28"/>
          <w:szCs w:val="28"/>
          <w:lang w:val="el-GR"/>
        </w:rPr>
        <w:t>στές</w:t>
      </w:r>
      <w:r w:rsidRPr="00F940CD">
        <w:rPr>
          <w:rFonts w:ascii="Arial" w:hAnsi="Arial" w:cs="Arial"/>
          <w:bCs/>
          <w:sz w:val="28"/>
          <w:szCs w:val="28"/>
          <w:lang w:val="el-GR"/>
        </w:rPr>
        <w:t>]</w:t>
      </w:r>
    </w:p>
    <w:p w14:paraId="5E2A1270" w14:textId="77777777" w:rsidR="00BF19A7" w:rsidRPr="00F940CD" w:rsidRDefault="00BF19A7" w:rsidP="002C1582">
      <w:pPr>
        <w:ind w:right="-279"/>
        <w:jc w:val="center"/>
        <w:rPr>
          <w:rFonts w:ascii="Arial" w:hAnsi="Arial" w:cs="Arial"/>
          <w:bCs/>
          <w:sz w:val="28"/>
          <w:szCs w:val="28"/>
          <w:lang w:val="el-GR"/>
        </w:rPr>
      </w:pPr>
    </w:p>
    <w:p w14:paraId="5A194C8E" w14:textId="77777777" w:rsidR="00702DFA" w:rsidRDefault="00702DFA" w:rsidP="002C1582">
      <w:pPr>
        <w:pStyle w:val="Bodytext20"/>
        <w:shd w:val="clear" w:color="auto" w:fill="auto"/>
        <w:spacing w:before="0" w:line="240" w:lineRule="auto"/>
        <w:ind w:right="-319"/>
        <w:rPr>
          <w:color w:val="000000"/>
          <w:sz w:val="28"/>
          <w:szCs w:val="28"/>
          <w:lang w:val="el-GR" w:bidi="el-GR"/>
        </w:rPr>
      </w:pPr>
    </w:p>
    <w:p w14:paraId="725C5933" w14:textId="3A4B4A7D" w:rsidR="00726B51" w:rsidRDefault="00726B51" w:rsidP="002C1582">
      <w:pPr>
        <w:pStyle w:val="Bodytext20"/>
        <w:shd w:val="clear" w:color="auto" w:fill="auto"/>
        <w:spacing w:before="0" w:line="240" w:lineRule="auto"/>
        <w:ind w:right="-319"/>
        <w:rPr>
          <w:color w:val="000000"/>
          <w:sz w:val="28"/>
          <w:szCs w:val="28"/>
          <w:lang w:val="el-GR" w:bidi="el-GR"/>
        </w:rPr>
      </w:pPr>
      <w:r>
        <w:rPr>
          <w:color w:val="000000"/>
          <w:sz w:val="28"/>
          <w:szCs w:val="28"/>
          <w:lang w:val="el-GR" w:bidi="el-GR"/>
        </w:rPr>
        <w:t>ΚΑΤ΄ΕΦΕΣΙΝ ΤΟΥ ΑΝΩΤΑΤΟΥ ΔΙΚΑΣΤΗΡΙΟΥ ΕΝ ΑΙΤΗΣΗ ΥΠ΄ΑΡΙΘΜΟΝ 192/2022</w:t>
      </w:r>
    </w:p>
    <w:p w14:paraId="757573CD" w14:textId="77777777" w:rsidR="008E0133" w:rsidRDefault="008E0133" w:rsidP="002C1582">
      <w:pPr>
        <w:pStyle w:val="Bodytext20"/>
        <w:shd w:val="clear" w:color="auto" w:fill="auto"/>
        <w:spacing w:before="0" w:line="240" w:lineRule="auto"/>
        <w:ind w:right="-319"/>
        <w:rPr>
          <w:color w:val="000000"/>
          <w:sz w:val="28"/>
          <w:szCs w:val="28"/>
          <w:lang w:val="el-GR" w:bidi="el-GR"/>
        </w:rPr>
      </w:pPr>
    </w:p>
    <w:p w14:paraId="64030A97" w14:textId="77777777" w:rsidR="00726B51" w:rsidRPr="00F940CD" w:rsidRDefault="00726B51" w:rsidP="002C1582">
      <w:pPr>
        <w:pStyle w:val="Bodytext20"/>
        <w:shd w:val="clear" w:color="auto" w:fill="auto"/>
        <w:spacing w:before="0" w:line="240" w:lineRule="auto"/>
        <w:ind w:right="-319"/>
        <w:rPr>
          <w:color w:val="000000"/>
          <w:sz w:val="28"/>
          <w:szCs w:val="28"/>
          <w:lang w:val="el-GR" w:bidi="el-GR"/>
        </w:rPr>
      </w:pPr>
    </w:p>
    <w:p w14:paraId="43A4875F" w14:textId="003A4CFC" w:rsidR="00BF19A7" w:rsidRPr="00883191" w:rsidRDefault="00BF19A7" w:rsidP="002C1582">
      <w:pPr>
        <w:pStyle w:val="Bodytext20"/>
        <w:shd w:val="clear" w:color="auto" w:fill="auto"/>
        <w:spacing w:before="0" w:line="240"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r w:rsidR="00726B51">
        <w:rPr>
          <w:color w:val="000000"/>
          <w:sz w:val="28"/>
          <w:szCs w:val="28"/>
          <w:lang w:val="el-GR" w:bidi="el-GR"/>
        </w:rPr>
        <w:t>, ΩΣ ΤΡΟΠΟΠΟΙΗΘΗΚΕ</w:t>
      </w:r>
    </w:p>
    <w:p w14:paraId="19EA14C4" w14:textId="77777777" w:rsidR="00BF19A7" w:rsidRPr="00883191" w:rsidRDefault="00BF19A7" w:rsidP="00726B51">
      <w:pPr>
        <w:pStyle w:val="Bodytext20"/>
        <w:shd w:val="clear" w:color="auto" w:fill="auto"/>
        <w:spacing w:before="0" w:after="120" w:line="276" w:lineRule="auto"/>
        <w:ind w:right="-279"/>
        <w:rPr>
          <w:sz w:val="28"/>
          <w:szCs w:val="28"/>
          <w:lang w:val="el-GR"/>
        </w:rPr>
      </w:pPr>
    </w:p>
    <w:p w14:paraId="4F38B0E8" w14:textId="5A5A89D3" w:rsidR="00BF19A7" w:rsidRPr="00702DFA" w:rsidRDefault="00BF19A7" w:rsidP="00702DFA">
      <w:pPr>
        <w:pStyle w:val="Bodytext20"/>
        <w:shd w:val="clear" w:color="auto" w:fill="auto"/>
        <w:spacing w:before="0" w:after="120" w:line="276" w:lineRule="auto"/>
        <w:ind w:left="20" w:right="-279"/>
        <w:jc w:val="center"/>
        <w:rPr>
          <w:color w:val="000000"/>
          <w:sz w:val="28"/>
          <w:szCs w:val="28"/>
          <w:lang w:val="el-GR" w:bidi="el-GR"/>
        </w:rPr>
      </w:pPr>
      <w:r w:rsidRPr="00883191">
        <w:rPr>
          <w:color w:val="000000"/>
          <w:sz w:val="28"/>
          <w:szCs w:val="28"/>
          <w:lang w:val="el-GR" w:bidi="el-GR"/>
        </w:rPr>
        <w:t>ΚΑΙ</w:t>
      </w:r>
    </w:p>
    <w:p w14:paraId="47C0DFFE" w14:textId="5E66370C" w:rsidR="00BF19A7" w:rsidRPr="00702DFA" w:rsidRDefault="00BF19A7" w:rsidP="00726B51">
      <w:pPr>
        <w:pStyle w:val="Bodytext20"/>
        <w:shd w:val="clear" w:color="auto" w:fill="auto"/>
        <w:spacing w:before="0" w:after="12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w:t>
      </w:r>
      <w:r w:rsidR="00726B51">
        <w:rPr>
          <w:color w:val="000000"/>
          <w:sz w:val="28"/>
          <w:szCs w:val="28"/>
          <w:lang w:val="el-GR" w:bidi="el-GR"/>
        </w:rPr>
        <w:t>Σ</w:t>
      </w:r>
      <w:r w:rsidR="00436947">
        <w:rPr>
          <w:color w:val="000000"/>
          <w:sz w:val="28"/>
          <w:szCs w:val="28"/>
          <w:lang w:val="el-GR" w:bidi="el-GR"/>
        </w:rPr>
        <w:t xml:space="preserve"> ΚΑΝΟΝΙΣΜΟ</w:t>
      </w:r>
      <w:r w:rsidR="00726B51">
        <w:rPr>
          <w:color w:val="000000"/>
          <w:sz w:val="28"/>
          <w:szCs w:val="28"/>
          <w:lang w:val="el-GR" w:bidi="el-GR"/>
        </w:rPr>
        <w:t>Σ</w:t>
      </w:r>
      <w:r w:rsidR="00436947">
        <w:rPr>
          <w:color w:val="000000"/>
          <w:sz w:val="28"/>
          <w:szCs w:val="28"/>
          <w:lang w:val="el-GR" w:bidi="el-GR"/>
        </w:rPr>
        <w:t xml:space="preserve"> ΤΟΥ 2018</w:t>
      </w:r>
    </w:p>
    <w:p w14:paraId="023BA349" w14:textId="125AA792" w:rsidR="00EA25FF" w:rsidRDefault="00BF19A7" w:rsidP="00702DFA">
      <w:pPr>
        <w:pStyle w:val="Bodytext20"/>
        <w:shd w:val="clear" w:color="auto" w:fill="auto"/>
        <w:spacing w:before="0" w:after="120" w:line="276" w:lineRule="auto"/>
        <w:ind w:left="20" w:right="-279"/>
        <w:jc w:val="center"/>
        <w:rPr>
          <w:color w:val="000000"/>
          <w:sz w:val="28"/>
          <w:szCs w:val="28"/>
          <w:lang w:val="el-GR" w:bidi="el-GR"/>
        </w:rPr>
      </w:pPr>
      <w:r w:rsidRPr="00883191">
        <w:rPr>
          <w:color w:val="000000"/>
          <w:sz w:val="28"/>
          <w:szCs w:val="28"/>
          <w:lang w:val="el-GR" w:bidi="el-GR"/>
        </w:rPr>
        <w:t>ΚΑΙ</w:t>
      </w:r>
    </w:p>
    <w:p w14:paraId="7AC004DD" w14:textId="499E9396" w:rsidR="00726B51" w:rsidRPr="00726B51" w:rsidRDefault="00BF19A7" w:rsidP="00726B51">
      <w:pPr>
        <w:pStyle w:val="Bodytext20"/>
        <w:shd w:val="clear" w:color="auto" w:fill="auto"/>
        <w:spacing w:before="0" w:after="120" w:line="240" w:lineRule="auto"/>
        <w:ind w:right="-274"/>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 xml:space="preserve">ΗΝ ΑΙΤΗΣΗ </w:t>
      </w:r>
      <w:r w:rsidR="00EA25FF">
        <w:rPr>
          <w:color w:val="000000"/>
          <w:sz w:val="28"/>
          <w:szCs w:val="28"/>
          <w:lang w:val="el-GR" w:bidi="el-GR"/>
        </w:rPr>
        <w:t>Τ</w:t>
      </w:r>
      <w:r w:rsidR="00592D1C">
        <w:rPr>
          <w:color w:val="000000"/>
          <w:sz w:val="28"/>
          <w:szCs w:val="28"/>
          <w:lang w:val="el-GR" w:bidi="el-GR"/>
        </w:rPr>
        <w:t xml:space="preserve">ΟΥ </w:t>
      </w:r>
      <w:r w:rsidR="00726B51">
        <w:rPr>
          <w:color w:val="000000"/>
          <w:sz w:val="28"/>
          <w:szCs w:val="28"/>
          <w:lang w:val="el-GR" w:bidi="el-GR"/>
        </w:rPr>
        <w:t xml:space="preserve">ΧΡΙΣΤΑΚΗ ΠΑΥΛΟΥ ΜΕ Α.Δ.Τ. </w:t>
      </w:r>
      <w:r w:rsidR="002032C2" w:rsidRPr="002032C2">
        <w:rPr>
          <w:color w:val="000000"/>
          <w:sz w:val="28"/>
          <w:szCs w:val="28"/>
          <w:lang w:val="el-GR" w:bidi="el-GR"/>
        </w:rPr>
        <w:t xml:space="preserve">[    </w:t>
      </w:r>
      <w:r w:rsidR="002032C2">
        <w:rPr>
          <w:color w:val="000000"/>
          <w:sz w:val="28"/>
          <w:szCs w:val="28"/>
          <w:lang w:bidi="el-GR"/>
        </w:rPr>
        <w:t>]</w:t>
      </w:r>
      <w:r w:rsidR="00726B51">
        <w:rPr>
          <w:color w:val="000000"/>
          <w:sz w:val="28"/>
          <w:szCs w:val="28"/>
          <w:lang w:val="el-GR" w:bidi="el-GR"/>
        </w:rPr>
        <w:t xml:space="preserve">, ΓΙΑ ΤΗΝ ΚΑΤΑΧΩΡΗΣΗ ΑΙΤΗΣΗΣ ΓΙΑ ΤΗΝ ΕΚΔΟΣΗ ΕΝΤΑΛΜΑΤΟΣ </w:t>
      </w:r>
      <w:r w:rsidR="00726B51">
        <w:rPr>
          <w:color w:val="000000"/>
          <w:sz w:val="28"/>
          <w:szCs w:val="28"/>
          <w:lang w:val="en-US" w:bidi="el-GR"/>
        </w:rPr>
        <w:t>MANDAMUS</w:t>
      </w:r>
    </w:p>
    <w:p w14:paraId="58A4A6ED" w14:textId="096DEDA0" w:rsidR="00726B51" w:rsidRDefault="00BF19A7" w:rsidP="00702DFA">
      <w:pPr>
        <w:pStyle w:val="Bodytext20"/>
        <w:shd w:val="clear" w:color="auto" w:fill="auto"/>
        <w:spacing w:before="0" w:after="120" w:line="240" w:lineRule="auto"/>
        <w:ind w:right="-274"/>
        <w:jc w:val="center"/>
        <w:rPr>
          <w:color w:val="000000"/>
          <w:sz w:val="28"/>
          <w:szCs w:val="28"/>
          <w:lang w:val="el-GR" w:bidi="el-GR"/>
        </w:rPr>
      </w:pPr>
      <w:r w:rsidRPr="00883191">
        <w:rPr>
          <w:color w:val="000000"/>
          <w:sz w:val="28"/>
          <w:szCs w:val="28"/>
          <w:lang w:val="el-GR" w:bidi="el-GR"/>
        </w:rPr>
        <w:t>ΚΑΙ</w:t>
      </w:r>
    </w:p>
    <w:p w14:paraId="4CF280A6" w14:textId="406E6242" w:rsidR="00726B51" w:rsidRDefault="00EA25FF" w:rsidP="00726B51">
      <w:pPr>
        <w:pStyle w:val="Bodytext20"/>
        <w:shd w:val="clear" w:color="auto" w:fill="auto"/>
        <w:spacing w:before="0" w:after="120" w:line="240" w:lineRule="auto"/>
        <w:ind w:right="-274"/>
        <w:rPr>
          <w:color w:val="000000"/>
          <w:sz w:val="28"/>
          <w:szCs w:val="28"/>
          <w:lang w:val="el-GR" w:bidi="el-GR"/>
        </w:rPr>
      </w:pPr>
      <w:r w:rsidRPr="00883191">
        <w:rPr>
          <w:color w:val="000000"/>
          <w:sz w:val="28"/>
          <w:szCs w:val="28"/>
          <w:lang w:val="el-GR" w:bidi="el-GR"/>
        </w:rPr>
        <w:t>ΑΝΑΦΟΡΙΚΑ ΜΕ Τ</w:t>
      </w:r>
      <w:r>
        <w:rPr>
          <w:color w:val="000000"/>
          <w:sz w:val="28"/>
          <w:szCs w:val="28"/>
          <w:lang w:val="el-GR" w:bidi="el-GR"/>
        </w:rPr>
        <w:t xml:space="preserve">ΗΝ </w:t>
      </w:r>
      <w:r w:rsidR="00726B51">
        <w:rPr>
          <w:color w:val="000000"/>
          <w:sz w:val="28"/>
          <w:szCs w:val="28"/>
          <w:lang w:val="el-GR" w:bidi="el-GR"/>
        </w:rPr>
        <w:t>ΕΠΙΣΤΟΛΗ ΑΠΑΝΤΗΣΗ ΗΜΕΡ.26/10/2022 ΑΠΟ ΤΟ</w:t>
      </w:r>
      <w:r w:rsidR="008E0133">
        <w:rPr>
          <w:color w:val="000000"/>
          <w:sz w:val="28"/>
          <w:szCs w:val="28"/>
          <w:lang w:val="el-GR" w:bidi="el-GR"/>
        </w:rPr>
        <w:t>Ν</w:t>
      </w:r>
      <w:r w:rsidR="00726B51">
        <w:rPr>
          <w:color w:val="000000"/>
          <w:sz w:val="28"/>
          <w:szCs w:val="28"/>
          <w:lang w:val="el-GR" w:bidi="el-GR"/>
        </w:rPr>
        <w:t xml:space="preserve"> ΕΠΑΡΧΙΑΚΟ ΚΤΗΜΑΤΟΛΟΓΙΚΟ ΛΕΙΤΟΥΡΓΟ ΛΕΜΕΣΟΥ ΣΕ ΣΧΕΣΗ ΜΕ ΔΙΑΤΑΓΜΑ ΗΜΕΡΟΜΗΝΙΑΣ 26/11/2019 ΤΟ ΟΠΟΙΟ ΕΚΔΟΘΗΚΕ ΑΠΟ ΤΟ ΕΠΑΡΧΙΑΚΟ ΔΙΚΑΣΤΗΡΙΟ ΛΕΜΕΣΟΥ ΣΤΑ ΠΛΑΙΣΙΑ ΤΗΣ ΑΓΩΓΗΣ ΑΡ.2737/2019 ΚΑΙ ΤΗΣ ΕΠΙΣΤΟΛΗΣ ΠΡΟΣ ΤΗ ΔΙΕΥΘΥΝΤΡΙΑ ΤΟΥ ΕΠΑΡΧΙΑΚΟΥ ΚΤΗΜΑΤΟΛΟΓΙΟΥ ΛΕΜΕΣΟΥ ΝΑ ΕΝΕΡΓΗΣΕΙ ΩΣ ΤΟ ΔΙΑΤΑΓΜΑ ΤΟΥ ΔΙΚΑΣΤΗΡΙΟΥ, ΤΑ ΑΙΤΗΜΑΤΑ ΤΟΥ ΑΙΤΗΤΗ ΩΣ ΑΥΤΑ ΦΑΙΝΟΝΤΑΙ ΣΤΗΝ ΑΛΛΗΛΟΓΡΑΦΙΑ ΚΑΙ ΒΑΣΕΙ ΥΠΟΧΡΕΩΣΗΣ ΠΟΥ ΕΧΕΙ Ο ΔΙΕΥΘΥΝΤΗΣ ΚΤΗΜΑΤΟΛΟΓΙΟΥ ΒΑΣΕΙ ΝΟΜΟΥ</w:t>
      </w:r>
    </w:p>
    <w:p w14:paraId="04443109" w14:textId="7EDEDDA9" w:rsidR="00BF19A7" w:rsidRPr="002D3D06" w:rsidRDefault="00BF19A7" w:rsidP="00702DFA">
      <w:pPr>
        <w:ind w:right="-319"/>
        <w:rPr>
          <w:rFonts w:ascii="Arial" w:hAnsi="Arial" w:cs="Arial"/>
          <w:iCs/>
          <w:sz w:val="28"/>
          <w:szCs w:val="28"/>
          <w:lang w:val="el-GR"/>
        </w:rPr>
      </w:pPr>
    </w:p>
    <w:p w14:paraId="38A3C6EA" w14:textId="6B865557" w:rsidR="00C45B47" w:rsidRPr="00F93C97" w:rsidRDefault="008E0133" w:rsidP="00C45B47">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lastRenderedPageBreak/>
        <w:t>Α. Κληρίδης για Φοίβος, Χρίστος Κληρίδης &amp; Συνεργάτες Δ.Ε.Π.Ε.</w:t>
      </w:r>
      <w:r w:rsidR="00C45B47">
        <w:rPr>
          <w:rFonts w:ascii="Arial" w:hAnsi="Arial" w:cs="Arial"/>
          <w:bCs/>
          <w:i/>
          <w:sz w:val="28"/>
          <w:szCs w:val="28"/>
          <w:lang w:val="el-GR"/>
        </w:rPr>
        <w:t>,</w:t>
      </w:r>
      <w:r w:rsidR="00C45B47" w:rsidRPr="00F93C97">
        <w:rPr>
          <w:rFonts w:ascii="Arial" w:hAnsi="Arial" w:cs="Arial"/>
          <w:bCs/>
          <w:i/>
          <w:sz w:val="28"/>
          <w:szCs w:val="28"/>
          <w:lang w:val="el-GR"/>
        </w:rPr>
        <w:t xml:space="preserve"> </w:t>
      </w:r>
      <w:r w:rsidR="00C45B47" w:rsidRPr="00F93C97">
        <w:rPr>
          <w:rFonts w:ascii="Arial" w:hAnsi="Arial" w:cs="Arial"/>
          <w:bCs/>
          <w:iCs/>
          <w:sz w:val="28"/>
          <w:szCs w:val="28"/>
          <w:lang w:val="el-GR"/>
        </w:rPr>
        <w:t>για τ</w:t>
      </w:r>
      <w:r w:rsidR="00C45B47">
        <w:rPr>
          <w:rFonts w:ascii="Arial" w:hAnsi="Arial" w:cs="Arial"/>
          <w:bCs/>
          <w:iCs/>
          <w:sz w:val="28"/>
          <w:szCs w:val="28"/>
          <w:lang w:val="el-GR"/>
        </w:rPr>
        <w:t>ον</w:t>
      </w:r>
      <w:r w:rsidR="00C45B47" w:rsidRPr="00F93C97">
        <w:rPr>
          <w:rFonts w:ascii="Arial" w:hAnsi="Arial" w:cs="Arial"/>
          <w:bCs/>
          <w:iCs/>
          <w:sz w:val="28"/>
          <w:szCs w:val="28"/>
          <w:lang w:val="el-GR"/>
        </w:rPr>
        <w:t xml:space="preserve"> </w:t>
      </w:r>
      <w:r>
        <w:rPr>
          <w:rFonts w:ascii="Arial" w:hAnsi="Arial" w:cs="Arial"/>
          <w:bCs/>
          <w:iCs/>
          <w:sz w:val="28"/>
          <w:szCs w:val="28"/>
          <w:lang w:val="el-GR"/>
        </w:rPr>
        <w:t>Εφεσείοντα</w:t>
      </w:r>
      <w:r w:rsidR="00C45B47" w:rsidRPr="00F93C97">
        <w:rPr>
          <w:rFonts w:ascii="Arial" w:hAnsi="Arial" w:cs="Arial"/>
          <w:bCs/>
          <w:iCs/>
          <w:sz w:val="28"/>
          <w:szCs w:val="28"/>
          <w:lang w:val="el-GR"/>
        </w:rPr>
        <w:t>.</w:t>
      </w:r>
    </w:p>
    <w:p w14:paraId="3B5DDA00" w14:textId="77777777" w:rsidR="000B3CD6" w:rsidRPr="002D3D06" w:rsidRDefault="000B3CD6" w:rsidP="000B3CD6">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3DE79A56" w14:textId="20C83433" w:rsidR="00981A4A" w:rsidRDefault="00981A4A" w:rsidP="00981A4A">
      <w:pPr>
        <w:spacing w:line="480" w:lineRule="auto"/>
        <w:ind w:right="-279"/>
        <w:jc w:val="both"/>
        <w:rPr>
          <w:rFonts w:ascii="Arial" w:hAnsi="Arial" w:cs="Arial"/>
          <w:b/>
          <w:iCs/>
          <w:sz w:val="28"/>
          <w:szCs w:val="28"/>
          <w:u w:val="single"/>
          <w:lang w:val="el-GR"/>
        </w:rPr>
      </w:pPr>
    </w:p>
    <w:p w14:paraId="41B6BBD1" w14:textId="4102B7BB" w:rsidR="00702DFA" w:rsidRPr="00592D1C" w:rsidRDefault="008E0133" w:rsidP="00702DFA">
      <w:pPr>
        <w:spacing w:line="360" w:lineRule="auto"/>
        <w:jc w:val="center"/>
        <w:rPr>
          <w:rFonts w:ascii="Arial" w:hAnsi="Arial" w:cs="Arial"/>
          <w:sz w:val="28"/>
          <w:szCs w:val="28"/>
          <w:lang w:val="el-GR"/>
        </w:rPr>
      </w:pPr>
      <w:r>
        <w:rPr>
          <w:rFonts w:ascii="Arial" w:hAnsi="Arial" w:cs="Arial"/>
          <w:b/>
          <w:sz w:val="28"/>
          <w:szCs w:val="28"/>
          <w:lang w:val="el-GR"/>
        </w:rPr>
        <w:t>ΓΙΑΣΕΜΗΣ, Δ.</w:t>
      </w:r>
      <w:r>
        <w:rPr>
          <w:rFonts w:ascii="Arial" w:hAnsi="Arial" w:cs="Arial"/>
          <w:sz w:val="28"/>
          <w:szCs w:val="28"/>
          <w:lang w:val="el-GR"/>
        </w:rPr>
        <w:t>:</w:t>
      </w:r>
      <w:r>
        <w:rPr>
          <w:rFonts w:ascii="Arial" w:hAnsi="Arial" w:cs="Arial"/>
          <w:b/>
          <w:sz w:val="28"/>
          <w:szCs w:val="28"/>
          <w:lang w:val="el-GR"/>
        </w:rPr>
        <w:t xml:space="preserve"> </w:t>
      </w:r>
      <w:r w:rsidR="00592D1C" w:rsidRPr="00592D1C">
        <w:rPr>
          <w:rFonts w:ascii="Arial" w:hAnsi="Arial" w:cs="Arial"/>
          <w:sz w:val="28"/>
          <w:szCs w:val="28"/>
          <w:lang w:val="el-GR"/>
        </w:rPr>
        <w:t>Η απόφαση του Δικαστηρίου είναι ομόφωνη και θα δοθεί από τον Μαλαχτό, Δ.</w:t>
      </w:r>
    </w:p>
    <w:p w14:paraId="4759F0D5" w14:textId="77777777" w:rsidR="00702DFA" w:rsidRDefault="00702DFA" w:rsidP="00702DFA">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3B8750AF" w14:textId="77777777" w:rsidR="00592D1C" w:rsidRDefault="00592D1C" w:rsidP="00981A4A">
      <w:pPr>
        <w:spacing w:line="480" w:lineRule="auto"/>
        <w:ind w:right="-279"/>
        <w:jc w:val="both"/>
        <w:rPr>
          <w:rFonts w:ascii="Arial" w:hAnsi="Arial" w:cs="Arial"/>
          <w:b/>
          <w:iCs/>
          <w:sz w:val="28"/>
          <w:szCs w:val="28"/>
          <w:u w:val="single"/>
          <w:lang w:val="el-GR"/>
        </w:rPr>
      </w:pPr>
    </w:p>
    <w:p w14:paraId="261AAD33" w14:textId="7B210222" w:rsidR="00981A4A" w:rsidRDefault="00981A4A" w:rsidP="002C1582">
      <w:pPr>
        <w:spacing w:line="360" w:lineRule="auto"/>
        <w:ind w:right="-279"/>
        <w:jc w:val="center"/>
        <w:rPr>
          <w:rFonts w:ascii="Arial" w:hAnsi="Arial" w:cs="Arial"/>
          <w:b/>
          <w:iCs/>
          <w:sz w:val="28"/>
          <w:szCs w:val="28"/>
          <w:lang w:val="el-GR"/>
        </w:rPr>
      </w:pPr>
      <w:r>
        <w:rPr>
          <w:rFonts w:ascii="Arial" w:hAnsi="Arial" w:cs="Arial"/>
          <w:b/>
          <w:iCs/>
          <w:sz w:val="28"/>
          <w:szCs w:val="28"/>
          <w:lang w:val="el-GR"/>
        </w:rPr>
        <w:t>ΑΠΟΦΑΣΗ</w:t>
      </w:r>
    </w:p>
    <w:p w14:paraId="3C5BB961" w14:textId="7524B1A0" w:rsidR="00981A4A" w:rsidRDefault="00981A4A" w:rsidP="002C1582">
      <w:pPr>
        <w:spacing w:line="360" w:lineRule="auto"/>
        <w:ind w:right="-279"/>
        <w:jc w:val="center"/>
        <w:rPr>
          <w:rFonts w:ascii="Arial" w:hAnsi="Arial" w:cs="Arial"/>
          <w:b/>
          <w:iCs/>
          <w:sz w:val="28"/>
          <w:szCs w:val="28"/>
          <w:lang w:val="el-GR"/>
        </w:rPr>
      </w:pPr>
    </w:p>
    <w:p w14:paraId="0547DB0E" w14:textId="1A500770" w:rsidR="00FB7AFF" w:rsidRDefault="00981A4A" w:rsidP="00592D1C">
      <w:pPr>
        <w:spacing w:line="480" w:lineRule="auto"/>
        <w:ind w:right="-274" w:firstLine="270"/>
        <w:jc w:val="both"/>
        <w:rPr>
          <w:rFonts w:ascii="Arial" w:hAnsi="Arial" w:cs="Arial"/>
          <w:color w:val="000000"/>
          <w:sz w:val="28"/>
          <w:szCs w:val="28"/>
          <w:lang w:val="el-GR"/>
        </w:rPr>
      </w:pPr>
      <w:r>
        <w:rPr>
          <w:rFonts w:ascii="Arial" w:hAnsi="Arial" w:cs="Arial"/>
          <w:b/>
          <w:iCs/>
          <w:sz w:val="28"/>
          <w:szCs w:val="28"/>
          <w:lang w:val="el-GR"/>
        </w:rPr>
        <w:t>ΜΑΛΑΧΤΟΣ, Δ.</w:t>
      </w:r>
      <w:r>
        <w:rPr>
          <w:rFonts w:ascii="Arial" w:hAnsi="Arial" w:cs="Arial"/>
          <w:iCs/>
          <w:sz w:val="28"/>
          <w:szCs w:val="28"/>
          <w:lang w:val="el-GR"/>
        </w:rPr>
        <w:t>:</w:t>
      </w:r>
      <w:r w:rsidR="002804F7" w:rsidRPr="002804F7">
        <w:rPr>
          <w:rFonts w:ascii="Arial" w:hAnsi="Arial" w:cs="Arial"/>
          <w:iCs/>
          <w:sz w:val="28"/>
          <w:szCs w:val="28"/>
          <w:lang w:val="el-GR"/>
        </w:rPr>
        <w:t xml:space="preserve">  </w:t>
      </w:r>
      <w:r w:rsidR="00B710A5">
        <w:rPr>
          <w:rFonts w:ascii="Arial" w:hAnsi="Arial" w:cs="Arial"/>
          <w:sz w:val="28"/>
          <w:szCs w:val="28"/>
          <w:lang w:val="el-GR"/>
        </w:rPr>
        <w:t xml:space="preserve">Ο Εφεσείων προσβάλλει την απόφαση Δικαστή του Ανωτάτου Δικαστηρίου στην πρωτοβάθμια του δικαιοδοσία, με την οποία απέρριψε αίτηση του για να του χορηγηθεί άδεια για την καταχώριση αίτησης με κλήση για την έκδοση προνομιακού εντάλματος </w:t>
      </w:r>
      <w:r w:rsidR="00B710A5">
        <w:rPr>
          <w:rFonts w:ascii="Arial" w:hAnsi="Arial" w:cs="Arial"/>
          <w:sz w:val="28"/>
          <w:szCs w:val="28"/>
          <w:lang w:val="en-US"/>
        </w:rPr>
        <w:t>mandamus</w:t>
      </w:r>
      <w:r w:rsidR="00B710A5">
        <w:rPr>
          <w:rFonts w:ascii="Arial" w:hAnsi="Arial" w:cs="Arial"/>
          <w:sz w:val="28"/>
          <w:szCs w:val="28"/>
          <w:lang w:val="el-GR"/>
        </w:rPr>
        <w:t>,</w:t>
      </w:r>
      <w:r w:rsidR="00B710A5" w:rsidRPr="00B710A5">
        <w:rPr>
          <w:rFonts w:ascii="Arial" w:hAnsi="Arial" w:cs="Arial"/>
          <w:color w:val="000000"/>
          <w:sz w:val="28"/>
          <w:szCs w:val="28"/>
          <w:lang w:val="el-GR"/>
        </w:rPr>
        <w:t xml:space="preserve"> </w:t>
      </w:r>
      <w:r w:rsidR="00B710A5">
        <w:rPr>
          <w:rFonts w:ascii="Arial" w:hAnsi="Arial" w:cs="Arial"/>
          <w:color w:val="000000"/>
          <w:sz w:val="28"/>
          <w:szCs w:val="28"/>
          <w:lang w:val="el-GR"/>
        </w:rPr>
        <w:t xml:space="preserve">με το οποίο να διατάσσεται η Διευθύντρια του Επαρχιακού Κτηματολογίου Λεμεσού να προχωρήσει σε ακύρωση της μεταβίβασης </w:t>
      </w:r>
      <w:r w:rsidR="00FB7AFF">
        <w:rPr>
          <w:rFonts w:ascii="Arial" w:hAnsi="Arial" w:cs="Arial"/>
          <w:color w:val="000000"/>
          <w:sz w:val="28"/>
          <w:szCs w:val="28"/>
          <w:lang w:val="el-GR"/>
        </w:rPr>
        <w:t>αριθμού</w:t>
      </w:r>
      <w:r w:rsidR="00B710A5">
        <w:rPr>
          <w:rFonts w:ascii="Arial" w:hAnsi="Arial" w:cs="Arial"/>
          <w:color w:val="000000"/>
          <w:sz w:val="28"/>
          <w:szCs w:val="28"/>
          <w:lang w:val="el-GR"/>
        </w:rPr>
        <w:t xml:space="preserve"> ακινήτων </w:t>
      </w:r>
      <w:r w:rsidR="00FB7AFF">
        <w:rPr>
          <w:rFonts w:ascii="Arial" w:hAnsi="Arial" w:cs="Arial"/>
          <w:color w:val="000000"/>
          <w:sz w:val="28"/>
          <w:szCs w:val="28"/>
          <w:lang w:val="el-GR"/>
        </w:rPr>
        <w:t>που πραγματοποιήθηκε την 30.12.2019.</w:t>
      </w:r>
    </w:p>
    <w:p w14:paraId="20AD6058" w14:textId="77777777" w:rsidR="00702DFA" w:rsidRDefault="00702DFA" w:rsidP="00592D1C">
      <w:pPr>
        <w:spacing w:line="480" w:lineRule="auto"/>
        <w:ind w:right="-274" w:firstLine="270"/>
        <w:jc w:val="both"/>
        <w:rPr>
          <w:rFonts w:ascii="Arial" w:hAnsi="Arial" w:cs="Arial"/>
          <w:sz w:val="28"/>
          <w:szCs w:val="28"/>
          <w:lang w:val="el-GR"/>
        </w:rPr>
      </w:pPr>
    </w:p>
    <w:p w14:paraId="5CDBD93D" w14:textId="42BF9BBA" w:rsidR="00DC1B52" w:rsidRDefault="00DC1B52" w:rsidP="00592D1C">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Τα ακίνητα ήταν εγγεγραμμένα στο όνομα δύο εταιρειών συμφερόντων του Εφεσείοντα.  </w:t>
      </w:r>
      <w:r w:rsidR="00FB7AFF">
        <w:rPr>
          <w:rFonts w:ascii="Arial" w:hAnsi="Arial" w:cs="Arial"/>
          <w:sz w:val="28"/>
          <w:szCs w:val="28"/>
          <w:lang w:val="el-GR"/>
        </w:rPr>
        <w:t>Την 25.11.2019, κ</w:t>
      </w:r>
      <w:r>
        <w:rPr>
          <w:rFonts w:ascii="Arial" w:hAnsi="Arial" w:cs="Arial"/>
          <w:sz w:val="28"/>
          <w:szCs w:val="28"/>
          <w:lang w:val="el-GR"/>
        </w:rPr>
        <w:t>αταχωρίστηκε αγωγή στο Ε.Δ. Λεμεσού εναντίον των δύο εταιρειών και του Εφεσείοντα από πρόσωπο που</w:t>
      </w:r>
      <w:r w:rsidR="00FB7AFF">
        <w:rPr>
          <w:rFonts w:ascii="Arial" w:hAnsi="Arial" w:cs="Arial"/>
          <w:sz w:val="28"/>
          <w:szCs w:val="28"/>
          <w:lang w:val="el-GR"/>
        </w:rPr>
        <w:t>, σύμφωνα με την αξίωση,</w:t>
      </w:r>
      <w:r>
        <w:rPr>
          <w:rFonts w:ascii="Arial" w:hAnsi="Arial" w:cs="Arial"/>
          <w:sz w:val="28"/>
          <w:szCs w:val="28"/>
          <w:lang w:val="el-GR"/>
        </w:rPr>
        <w:t xml:space="preserve"> </w:t>
      </w:r>
      <w:r w:rsidR="00FB7AFF">
        <w:rPr>
          <w:rFonts w:ascii="Arial" w:hAnsi="Arial" w:cs="Arial"/>
          <w:sz w:val="28"/>
          <w:szCs w:val="28"/>
          <w:lang w:val="el-GR"/>
        </w:rPr>
        <w:t>είχε αγοράσει</w:t>
      </w:r>
      <w:r w:rsidR="005B7ADC">
        <w:rPr>
          <w:rFonts w:ascii="Arial" w:hAnsi="Arial" w:cs="Arial"/>
          <w:sz w:val="28"/>
          <w:szCs w:val="28"/>
          <w:lang w:val="el-GR"/>
        </w:rPr>
        <w:t xml:space="preserve"> </w:t>
      </w:r>
      <w:r>
        <w:rPr>
          <w:rFonts w:ascii="Arial" w:hAnsi="Arial" w:cs="Arial"/>
          <w:sz w:val="28"/>
          <w:szCs w:val="28"/>
          <w:lang w:val="el-GR"/>
        </w:rPr>
        <w:t xml:space="preserve">τα ακίνητα </w:t>
      </w:r>
      <w:r w:rsidR="005B7ADC">
        <w:rPr>
          <w:rFonts w:ascii="Arial" w:hAnsi="Arial" w:cs="Arial"/>
          <w:sz w:val="28"/>
          <w:szCs w:val="28"/>
          <w:lang w:val="el-GR"/>
        </w:rPr>
        <w:t>πληρώνοντας προκαταβολή και που διατείνετ</w:t>
      </w:r>
      <w:r w:rsidR="00FB7AFF">
        <w:rPr>
          <w:rFonts w:ascii="Arial" w:hAnsi="Arial" w:cs="Arial"/>
          <w:sz w:val="28"/>
          <w:szCs w:val="28"/>
          <w:lang w:val="el-GR"/>
        </w:rPr>
        <w:t>ο</w:t>
      </w:r>
      <w:r w:rsidR="005B7ADC">
        <w:rPr>
          <w:rFonts w:ascii="Arial" w:hAnsi="Arial" w:cs="Arial"/>
          <w:sz w:val="28"/>
          <w:szCs w:val="28"/>
          <w:lang w:val="el-GR"/>
        </w:rPr>
        <w:t xml:space="preserve"> ότι οι εταιρείες και ο Εφεσείων διευθυντής τους τον εξαπάτησαν, αποκρύπτοντας του ότι τα ακίνητα ήταν </w:t>
      </w:r>
      <w:r w:rsidR="005B7ADC">
        <w:rPr>
          <w:rFonts w:ascii="Arial" w:hAnsi="Arial" w:cs="Arial"/>
          <w:sz w:val="28"/>
          <w:szCs w:val="28"/>
          <w:lang w:val="el-GR"/>
        </w:rPr>
        <w:lastRenderedPageBreak/>
        <w:t xml:space="preserve">υποθηκευμένα.  Ο </w:t>
      </w:r>
      <w:r w:rsidR="00FB7AFF">
        <w:rPr>
          <w:rFonts w:ascii="Arial" w:hAnsi="Arial" w:cs="Arial"/>
          <w:sz w:val="28"/>
          <w:szCs w:val="28"/>
          <w:lang w:val="el-GR"/>
        </w:rPr>
        <w:t xml:space="preserve">ενάγοντας, </w:t>
      </w:r>
      <w:r w:rsidR="005B7ADC">
        <w:rPr>
          <w:rFonts w:ascii="Arial" w:hAnsi="Arial" w:cs="Arial"/>
          <w:sz w:val="28"/>
          <w:szCs w:val="28"/>
          <w:lang w:val="el-GR"/>
        </w:rPr>
        <w:t>αγοραστής</w:t>
      </w:r>
      <w:r w:rsidR="00FB7AFF">
        <w:rPr>
          <w:rFonts w:ascii="Arial" w:hAnsi="Arial" w:cs="Arial"/>
          <w:sz w:val="28"/>
          <w:szCs w:val="28"/>
          <w:lang w:val="el-GR"/>
        </w:rPr>
        <w:t>,</w:t>
      </w:r>
      <w:r w:rsidR="005B7ADC">
        <w:rPr>
          <w:rFonts w:ascii="Arial" w:hAnsi="Arial" w:cs="Arial"/>
          <w:sz w:val="28"/>
          <w:szCs w:val="28"/>
          <w:lang w:val="el-GR"/>
        </w:rPr>
        <w:t xml:space="preserve"> εξασφάλισε μονομερώς διάταγμα </w:t>
      </w:r>
      <w:r w:rsidR="00FB7AFF">
        <w:rPr>
          <w:rFonts w:ascii="Arial" w:hAnsi="Arial" w:cs="Arial"/>
          <w:sz w:val="28"/>
          <w:szCs w:val="28"/>
          <w:lang w:val="el-GR"/>
        </w:rPr>
        <w:t xml:space="preserve">ημερ.26.11.2019 </w:t>
      </w:r>
      <w:r w:rsidR="005B7ADC">
        <w:rPr>
          <w:rFonts w:ascii="Arial" w:hAnsi="Arial" w:cs="Arial"/>
          <w:sz w:val="28"/>
          <w:szCs w:val="28"/>
          <w:lang w:val="el-GR"/>
        </w:rPr>
        <w:t>εναντίον των εταιρειών και του</w:t>
      </w:r>
      <w:r w:rsidR="005B7ADC" w:rsidRPr="005B7ADC">
        <w:rPr>
          <w:rFonts w:ascii="Arial" w:hAnsi="Arial" w:cs="Arial"/>
          <w:sz w:val="28"/>
          <w:szCs w:val="28"/>
          <w:lang w:val="el-GR"/>
        </w:rPr>
        <w:t xml:space="preserve"> </w:t>
      </w:r>
      <w:r w:rsidR="005B7ADC">
        <w:rPr>
          <w:rFonts w:ascii="Arial" w:hAnsi="Arial" w:cs="Arial"/>
          <w:sz w:val="28"/>
          <w:szCs w:val="28"/>
          <w:lang w:val="el-GR"/>
        </w:rPr>
        <w:t xml:space="preserve">Εφεσείοντα για να μην αποξενώσουν τα ακίνητα, που </w:t>
      </w:r>
      <w:r w:rsidR="00FB7AFF">
        <w:rPr>
          <w:rFonts w:ascii="Arial" w:hAnsi="Arial" w:cs="Arial"/>
          <w:sz w:val="28"/>
          <w:szCs w:val="28"/>
          <w:lang w:val="el-GR"/>
        </w:rPr>
        <w:t>την 3.12.2019</w:t>
      </w:r>
      <w:r w:rsidR="005B7ADC">
        <w:rPr>
          <w:rFonts w:ascii="Arial" w:hAnsi="Arial" w:cs="Arial"/>
          <w:sz w:val="28"/>
          <w:szCs w:val="28"/>
          <w:lang w:val="el-GR"/>
        </w:rPr>
        <w:t xml:space="preserve"> κατέστη απόλυτο</w:t>
      </w:r>
      <w:r w:rsidR="00FB7AFF">
        <w:rPr>
          <w:rFonts w:ascii="Arial" w:hAnsi="Arial" w:cs="Arial"/>
          <w:sz w:val="28"/>
          <w:szCs w:val="28"/>
          <w:lang w:val="el-GR"/>
        </w:rPr>
        <w:t xml:space="preserve"> αφού ούτε οι εταιρείες αλλά ούτε και ο Εφεσείων εμφανίστηκαν στη διαδικασία</w:t>
      </w:r>
      <w:r w:rsidR="005B7ADC">
        <w:rPr>
          <w:rFonts w:ascii="Arial" w:hAnsi="Arial" w:cs="Arial"/>
          <w:sz w:val="28"/>
          <w:szCs w:val="28"/>
          <w:lang w:val="el-GR"/>
        </w:rPr>
        <w:t>.</w:t>
      </w:r>
    </w:p>
    <w:p w14:paraId="7F8C17EA" w14:textId="77777777" w:rsidR="005B7ADC" w:rsidRDefault="005B7ADC" w:rsidP="00592D1C">
      <w:pPr>
        <w:spacing w:line="480" w:lineRule="auto"/>
        <w:ind w:right="-274" w:firstLine="270"/>
        <w:jc w:val="both"/>
        <w:rPr>
          <w:rFonts w:ascii="Arial" w:hAnsi="Arial" w:cs="Arial"/>
          <w:sz w:val="28"/>
          <w:szCs w:val="28"/>
          <w:lang w:val="el-GR"/>
        </w:rPr>
      </w:pPr>
    </w:p>
    <w:p w14:paraId="5632E628" w14:textId="2FB2CC3E" w:rsidR="005B7ADC" w:rsidRDefault="00FB7AFF" w:rsidP="00592D1C">
      <w:pPr>
        <w:spacing w:line="480" w:lineRule="auto"/>
        <w:ind w:right="-274" w:firstLine="270"/>
        <w:jc w:val="both"/>
        <w:rPr>
          <w:rFonts w:ascii="Arial" w:hAnsi="Arial" w:cs="Arial"/>
          <w:sz w:val="28"/>
          <w:szCs w:val="28"/>
          <w:lang w:val="el-GR"/>
        </w:rPr>
      </w:pPr>
      <w:r>
        <w:rPr>
          <w:rFonts w:ascii="Arial" w:hAnsi="Arial" w:cs="Arial"/>
          <w:sz w:val="28"/>
          <w:szCs w:val="28"/>
          <w:lang w:val="el-GR"/>
        </w:rPr>
        <w:t>Προκύπτει ότι, την ίδια χρονική περίοδο, ο</w:t>
      </w:r>
      <w:r w:rsidR="005B7ADC">
        <w:rPr>
          <w:rFonts w:ascii="Arial" w:hAnsi="Arial" w:cs="Arial"/>
          <w:sz w:val="28"/>
          <w:szCs w:val="28"/>
          <w:lang w:val="el-GR"/>
        </w:rPr>
        <w:t xml:space="preserve"> ενυπόθηκος δανειστής </w:t>
      </w:r>
      <w:r>
        <w:rPr>
          <w:rFonts w:ascii="Arial" w:hAnsi="Arial" w:cs="Arial"/>
          <w:sz w:val="28"/>
          <w:szCs w:val="28"/>
          <w:lang w:val="el-GR"/>
        </w:rPr>
        <w:t xml:space="preserve">είχε </w:t>
      </w:r>
      <w:r w:rsidR="00705095">
        <w:rPr>
          <w:rFonts w:ascii="Arial" w:hAnsi="Arial" w:cs="Arial"/>
          <w:sz w:val="28"/>
          <w:szCs w:val="28"/>
          <w:lang w:val="el-GR"/>
        </w:rPr>
        <w:t xml:space="preserve">ήδη </w:t>
      </w:r>
      <w:r>
        <w:rPr>
          <w:rFonts w:ascii="Arial" w:hAnsi="Arial" w:cs="Arial"/>
          <w:sz w:val="28"/>
          <w:szCs w:val="28"/>
          <w:lang w:val="el-GR"/>
        </w:rPr>
        <w:t xml:space="preserve">τροχοδρομήσει </w:t>
      </w:r>
      <w:r w:rsidR="005B7ADC">
        <w:rPr>
          <w:rFonts w:ascii="Arial" w:hAnsi="Arial" w:cs="Arial"/>
          <w:sz w:val="28"/>
          <w:szCs w:val="28"/>
          <w:lang w:val="el-GR"/>
        </w:rPr>
        <w:t xml:space="preserve"> </w:t>
      </w:r>
      <w:r>
        <w:rPr>
          <w:rFonts w:ascii="Arial" w:hAnsi="Arial" w:cs="Arial"/>
          <w:sz w:val="28"/>
          <w:szCs w:val="28"/>
          <w:lang w:val="el-GR"/>
        </w:rPr>
        <w:t>τη</w:t>
      </w:r>
      <w:r w:rsidR="005B7ADC">
        <w:rPr>
          <w:rFonts w:ascii="Arial" w:hAnsi="Arial" w:cs="Arial"/>
          <w:sz w:val="28"/>
          <w:szCs w:val="28"/>
          <w:lang w:val="el-GR"/>
        </w:rPr>
        <w:t xml:space="preserve"> διαδικασία εκποίησης </w:t>
      </w:r>
      <w:r w:rsidR="00705095">
        <w:rPr>
          <w:rFonts w:ascii="Arial" w:hAnsi="Arial" w:cs="Arial"/>
          <w:sz w:val="28"/>
          <w:szCs w:val="28"/>
          <w:lang w:val="el-GR"/>
        </w:rPr>
        <w:t xml:space="preserve">των ακινήτων.  Αυτά </w:t>
      </w:r>
      <w:r w:rsidR="005B7ADC">
        <w:rPr>
          <w:rFonts w:ascii="Arial" w:hAnsi="Arial" w:cs="Arial"/>
          <w:sz w:val="28"/>
          <w:szCs w:val="28"/>
          <w:lang w:val="el-GR"/>
        </w:rPr>
        <w:t>πωλήθηκαν</w:t>
      </w:r>
      <w:r w:rsidR="00070F3D">
        <w:rPr>
          <w:rFonts w:ascii="Arial" w:hAnsi="Arial" w:cs="Arial"/>
          <w:sz w:val="28"/>
          <w:szCs w:val="28"/>
          <w:lang w:val="el-GR"/>
        </w:rPr>
        <w:t xml:space="preserve"> σε πλειστηριασμό </w:t>
      </w:r>
      <w:r w:rsidR="00705095">
        <w:rPr>
          <w:rFonts w:ascii="Arial" w:hAnsi="Arial" w:cs="Arial"/>
          <w:sz w:val="28"/>
          <w:szCs w:val="28"/>
          <w:lang w:val="el-GR"/>
        </w:rPr>
        <w:t xml:space="preserve">την 29.11.2019 </w:t>
      </w:r>
      <w:r w:rsidR="00070F3D">
        <w:rPr>
          <w:rFonts w:ascii="Arial" w:hAnsi="Arial" w:cs="Arial"/>
          <w:sz w:val="28"/>
          <w:szCs w:val="28"/>
          <w:lang w:val="el-GR"/>
        </w:rPr>
        <w:t>και με αίτηση του ενυπόθηκου δανειστή, μετεγράφηκαν στ</w:t>
      </w:r>
      <w:r w:rsidR="00DD1D7C">
        <w:rPr>
          <w:rFonts w:ascii="Arial" w:hAnsi="Arial" w:cs="Arial"/>
          <w:sz w:val="28"/>
          <w:szCs w:val="28"/>
          <w:lang w:val="el-GR"/>
        </w:rPr>
        <w:t>ο</w:t>
      </w:r>
      <w:r w:rsidR="00070F3D">
        <w:rPr>
          <w:rFonts w:ascii="Arial" w:hAnsi="Arial" w:cs="Arial"/>
          <w:sz w:val="28"/>
          <w:szCs w:val="28"/>
          <w:lang w:val="el-GR"/>
        </w:rPr>
        <w:t xml:space="preserve"> </w:t>
      </w:r>
      <w:r w:rsidR="00DD1D7C">
        <w:rPr>
          <w:rFonts w:ascii="Arial" w:hAnsi="Arial" w:cs="Arial"/>
          <w:sz w:val="28"/>
          <w:szCs w:val="28"/>
          <w:lang w:val="el-GR"/>
        </w:rPr>
        <w:t>όνομα</w:t>
      </w:r>
      <w:r w:rsidR="00070F3D">
        <w:rPr>
          <w:rFonts w:ascii="Arial" w:hAnsi="Arial" w:cs="Arial"/>
          <w:sz w:val="28"/>
          <w:szCs w:val="28"/>
          <w:lang w:val="el-GR"/>
        </w:rPr>
        <w:t xml:space="preserve"> τ</w:t>
      </w:r>
      <w:r w:rsidR="00DD1D7C">
        <w:rPr>
          <w:rFonts w:ascii="Arial" w:hAnsi="Arial" w:cs="Arial"/>
          <w:sz w:val="28"/>
          <w:szCs w:val="28"/>
          <w:lang w:val="el-GR"/>
        </w:rPr>
        <w:t>ης</w:t>
      </w:r>
      <w:r w:rsidR="00070F3D">
        <w:rPr>
          <w:rFonts w:ascii="Arial" w:hAnsi="Arial" w:cs="Arial"/>
          <w:sz w:val="28"/>
          <w:szCs w:val="28"/>
          <w:lang w:val="el-GR"/>
        </w:rPr>
        <w:t xml:space="preserve"> </w:t>
      </w:r>
      <w:r w:rsidR="00DD1D7C">
        <w:rPr>
          <w:rFonts w:ascii="Arial" w:hAnsi="Arial" w:cs="Arial"/>
          <w:sz w:val="28"/>
          <w:szCs w:val="28"/>
          <w:lang w:val="el-GR"/>
        </w:rPr>
        <w:t>εταιρείας που τα αγόρασε</w:t>
      </w:r>
      <w:r w:rsidR="00705095">
        <w:rPr>
          <w:rFonts w:ascii="Arial" w:hAnsi="Arial" w:cs="Arial"/>
          <w:sz w:val="28"/>
          <w:szCs w:val="28"/>
          <w:lang w:val="el-GR"/>
        </w:rPr>
        <w:t xml:space="preserve"> την 30.12.2019</w:t>
      </w:r>
      <w:r w:rsidR="00070F3D">
        <w:rPr>
          <w:rFonts w:ascii="Arial" w:hAnsi="Arial" w:cs="Arial"/>
          <w:sz w:val="28"/>
          <w:szCs w:val="28"/>
          <w:lang w:val="el-GR"/>
        </w:rPr>
        <w:t>.</w:t>
      </w:r>
    </w:p>
    <w:p w14:paraId="6100BE09" w14:textId="77777777" w:rsidR="001111A8" w:rsidRDefault="001111A8" w:rsidP="00592D1C">
      <w:pPr>
        <w:spacing w:line="480" w:lineRule="auto"/>
        <w:ind w:right="-274" w:firstLine="270"/>
        <w:jc w:val="both"/>
        <w:rPr>
          <w:rFonts w:ascii="Arial" w:hAnsi="Arial" w:cs="Arial"/>
          <w:sz w:val="28"/>
          <w:szCs w:val="28"/>
          <w:lang w:val="el-GR"/>
        </w:rPr>
      </w:pPr>
    </w:p>
    <w:p w14:paraId="738316D5" w14:textId="2BABB96C" w:rsidR="001111A8" w:rsidRPr="001111A8" w:rsidRDefault="001111A8" w:rsidP="001111A8">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Όταν πληροφορήθηκε το γεγονός ο Εφεσείων</w:t>
      </w:r>
      <w:r w:rsidR="00D10E43">
        <w:rPr>
          <w:rFonts w:ascii="Arial" w:hAnsi="Arial" w:cs="Arial"/>
          <w:color w:val="000000"/>
          <w:sz w:val="28"/>
          <w:szCs w:val="28"/>
          <w:lang w:val="el-GR"/>
        </w:rPr>
        <w:t>,</w:t>
      </w:r>
      <w:r>
        <w:rPr>
          <w:rFonts w:ascii="Arial" w:hAnsi="Arial" w:cs="Arial"/>
          <w:color w:val="000000"/>
          <w:sz w:val="28"/>
          <w:szCs w:val="28"/>
          <w:lang w:val="el-GR"/>
        </w:rPr>
        <w:t xml:space="preserve"> </w:t>
      </w:r>
      <w:r w:rsidRPr="001111A8">
        <w:rPr>
          <w:rFonts w:ascii="Arial" w:hAnsi="Arial" w:cs="Arial"/>
          <w:color w:val="000000"/>
          <w:sz w:val="28"/>
          <w:szCs w:val="28"/>
          <w:lang w:val="el-GR"/>
        </w:rPr>
        <w:t>οι δικηγόροι του αλλά και των εταιρειών απέστειλαν επιστολή απαιτώντας από το Επαρχιακό Κτηματολόγιο Λεμεσού να εφαρμόσει τις πρόνοιες του</w:t>
      </w:r>
      <w:r w:rsidRPr="001111A8">
        <w:rPr>
          <w:rFonts w:ascii="Arial" w:hAnsi="Arial" w:cs="Arial"/>
          <w:color w:val="000000"/>
          <w:sz w:val="28"/>
          <w:szCs w:val="28"/>
        </w:rPr>
        <w:t> </w:t>
      </w:r>
      <w:r w:rsidRPr="001111A8">
        <w:rPr>
          <w:rFonts w:ascii="Arial" w:hAnsi="Arial" w:cs="Arial"/>
          <w:b/>
          <w:bCs/>
          <w:i/>
          <w:iCs/>
          <w:color w:val="000000"/>
          <w:sz w:val="28"/>
          <w:szCs w:val="28"/>
          <w:lang w:val="el-GR"/>
        </w:rPr>
        <w:t xml:space="preserve">Άρθρου 61(1-3) </w:t>
      </w:r>
      <w:r w:rsidRPr="00272C0B">
        <w:rPr>
          <w:rFonts w:ascii="Arial" w:hAnsi="Arial" w:cs="Arial"/>
          <w:color w:val="000000"/>
          <w:sz w:val="28"/>
          <w:szCs w:val="28"/>
          <w:lang w:val="el-GR"/>
        </w:rPr>
        <w:t>του</w:t>
      </w:r>
      <w:r w:rsidRPr="001111A8">
        <w:rPr>
          <w:rFonts w:ascii="Arial" w:hAnsi="Arial" w:cs="Arial"/>
          <w:b/>
          <w:bCs/>
          <w:i/>
          <w:iCs/>
          <w:color w:val="000000"/>
          <w:sz w:val="28"/>
          <w:szCs w:val="28"/>
        </w:rPr>
        <w:t> </w:t>
      </w:r>
      <w:hyperlink r:id="rId8" w:history="1">
        <w:r w:rsidRPr="00272C0B">
          <w:rPr>
            <w:rStyle w:val="Hyperlink"/>
            <w:rFonts w:ascii="Arial" w:hAnsi="Arial" w:cs="Arial"/>
            <w:b/>
            <w:bCs/>
            <w:i/>
            <w:iCs/>
            <w:color w:val="auto"/>
            <w:sz w:val="28"/>
            <w:szCs w:val="28"/>
            <w:u w:val="none"/>
            <w:lang w:val="el-GR"/>
          </w:rPr>
          <w:t>περί Ακινήτου Ιδιοκτησίας (Διακατοχή, Εγγραφή και Εκτίμηση) Νόμου, Κεφ. 224</w:t>
        </w:r>
      </w:hyperlink>
      <w:r w:rsidRPr="00272C0B">
        <w:rPr>
          <w:rFonts w:ascii="Arial" w:hAnsi="Arial" w:cs="Arial"/>
          <w:sz w:val="28"/>
          <w:szCs w:val="28"/>
        </w:rPr>
        <w:t> </w:t>
      </w:r>
      <w:r w:rsidRPr="001111A8">
        <w:rPr>
          <w:rFonts w:ascii="Arial" w:hAnsi="Arial" w:cs="Arial"/>
          <w:color w:val="000000"/>
          <w:sz w:val="28"/>
          <w:szCs w:val="28"/>
          <w:lang w:val="el-GR"/>
        </w:rPr>
        <w:t>και συγκεκριμένα, αφού διαπιστωθούν τα πραγματικά γεγονότα, να προβεί ο Διευθυντής σε ακύρωση της εγγραφής ως εγγραφή η οποία έγινε λόγω λάθους, παράλειψης, ψευδούς βεβαίωσης ή ψευδούς παράστασης που έγινε καλή τη πίστει ή δόλια.</w:t>
      </w:r>
    </w:p>
    <w:p w14:paraId="2AEB7E02" w14:textId="77777777" w:rsidR="00272C0B" w:rsidRDefault="00272C0B" w:rsidP="001111A8">
      <w:pPr>
        <w:spacing w:line="480" w:lineRule="auto"/>
        <w:jc w:val="both"/>
        <w:rPr>
          <w:rFonts w:ascii="Arial" w:hAnsi="Arial" w:cs="Arial"/>
          <w:color w:val="000000"/>
          <w:sz w:val="28"/>
          <w:szCs w:val="28"/>
          <w:lang w:val="el-GR"/>
        </w:rPr>
      </w:pPr>
    </w:p>
    <w:p w14:paraId="070FCF0F" w14:textId="6F248285" w:rsidR="001111A8" w:rsidRDefault="00272C0B" w:rsidP="001111A8">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w:t>
      </w:r>
      <w:r w:rsidR="001111A8">
        <w:rPr>
          <w:rFonts w:ascii="Arial" w:hAnsi="Arial" w:cs="Arial"/>
          <w:color w:val="000000"/>
          <w:sz w:val="28"/>
          <w:szCs w:val="28"/>
          <w:lang w:val="el-GR"/>
        </w:rPr>
        <w:t>Τ</w:t>
      </w:r>
      <w:r w:rsidR="001111A8" w:rsidRPr="001111A8">
        <w:rPr>
          <w:rFonts w:ascii="Arial" w:hAnsi="Arial" w:cs="Arial"/>
          <w:color w:val="000000"/>
          <w:sz w:val="28"/>
          <w:szCs w:val="28"/>
          <w:lang w:val="el-GR"/>
        </w:rPr>
        <w:t xml:space="preserve">ο Επαρχιακό Κτηματολόγιο Λεμεσού </w:t>
      </w:r>
      <w:r w:rsidR="001111A8">
        <w:rPr>
          <w:rFonts w:ascii="Arial" w:hAnsi="Arial" w:cs="Arial"/>
          <w:color w:val="000000"/>
          <w:sz w:val="28"/>
          <w:szCs w:val="28"/>
          <w:lang w:val="el-GR"/>
        </w:rPr>
        <w:t xml:space="preserve">απάντησε την 26.10.2022 </w:t>
      </w:r>
      <w:r w:rsidR="001111A8" w:rsidRPr="001111A8">
        <w:rPr>
          <w:rFonts w:ascii="Arial" w:hAnsi="Arial" w:cs="Arial"/>
          <w:color w:val="000000"/>
          <w:sz w:val="28"/>
          <w:szCs w:val="28"/>
          <w:lang w:val="el-GR"/>
        </w:rPr>
        <w:t xml:space="preserve">ότι τα ακίνητα </w:t>
      </w:r>
      <w:r w:rsidR="001111A8">
        <w:rPr>
          <w:rFonts w:ascii="Arial" w:hAnsi="Arial" w:cs="Arial"/>
          <w:color w:val="000000"/>
          <w:sz w:val="28"/>
          <w:szCs w:val="28"/>
          <w:lang w:val="el-GR"/>
        </w:rPr>
        <w:t>είχαν αποκτηθεί</w:t>
      </w:r>
      <w:r w:rsidR="001111A8" w:rsidRPr="001111A8">
        <w:rPr>
          <w:rFonts w:ascii="Arial" w:hAnsi="Arial" w:cs="Arial"/>
          <w:color w:val="000000"/>
          <w:sz w:val="28"/>
          <w:szCs w:val="28"/>
          <w:lang w:val="el-GR"/>
        </w:rPr>
        <w:t xml:space="preserve"> από </w:t>
      </w:r>
      <w:r w:rsidR="001111A8">
        <w:rPr>
          <w:rFonts w:ascii="Arial" w:hAnsi="Arial" w:cs="Arial"/>
          <w:color w:val="000000"/>
          <w:sz w:val="28"/>
          <w:szCs w:val="28"/>
          <w:lang w:val="el-GR"/>
        </w:rPr>
        <w:t>συγκεκριμένη</w:t>
      </w:r>
      <w:r w:rsidR="001111A8" w:rsidRPr="001111A8">
        <w:rPr>
          <w:rFonts w:ascii="Arial" w:hAnsi="Arial" w:cs="Arial"/>
          <w:color w:val="000000"/>
          <w:sz w:val="28"/>
          <w:szCs w:val="28"/>
          <w:lang w:val="el-GR"/>
        </w:rPr>
        <w:t xml:space="preserve"> εταιρεία</w:t>
      </w:r>
      <w:r w:rsidR="001111A8" w:rsidRPr="001111A8">
        <w:rPr>
          <w:rFonts w:ascii="Arial" w:hAnsi="Arial" w:cs="Arial"/>
          <w:color w:val="000000"/>
          <w:sz w:val="28"/>
          <w:szCs w:val="28"/>
        </w:rPr>
        <w:t> </w:t>
      </w:r>
      <w:r w:rsidR="001111A8" w:rsidRPr="001111A8">
        <w:rPr>
          <w:rFonts w:ascii="Arial" w:hAnsi="Arial" w:cs="Arial"/>
          <w:color w:val="000000"/>
          <w:sz w:val="28"/>
          <w:szCs w:val="28"/>
          <w:lang w:val="el-GR"/>
        </w:rPr>
        <w:t xml:space="preserve"> σύμφωνα με τις πρόνοιες</w:t>
      </w:r>
      <w:r>
        <w:rPr>
          <w:rFonts w:ascii="Arial" w:hAnsi="Arial" w:cs="Arial"/>
          <w:color w:val="000000"/>
          <w:sz w:val="28"/>
          <w:szCs w:val="28"/>
          <w:lang w:val="el-GR"/>
        </w:rPr>
        <w:t xml:space="preserve"> του νόμου</w:t>
      </w:r>
      <w:r w:rsidR="001111A8" w:rsidRPr="001111A8">
        <w:rPr>
          <w:rFonts w:ascii="Arial" w:hAnsi="Arial" w:cs="Arial"/>
          <w:color w:val="000000"/>
          <w:sz w:val="28"/>
          <w:szCs w:val="28"/>
          <w:lang w:val="el-GR"/>
        </w:rPr>
        <w:t xml:space="preserve"> και ότι στο δικαστικό διάταγμα «</w:t>
      </w:r>
      <w:r w:rsidR="001111A8" w:rsidRPr="001111A8">
        <w:rPr>
          <w:rFonts w:ascii="Arial" w:hAnsi="Arial" w:cs="Arial"/>
          <w:i/>
          <w:iCs/>
          <w:color w:val="000000"/>
          <w:sz w:val="28"/>
          <w:szCs w:val="28"/>
          <w:lang w:val="el-GR"/>
        </w:rPr>
        <w:t xml:space="preserve">δεν υπήρχε </w:t>
      </w:r>
      <w:r w:rsidR="001111A8" w:rsidRPr="001111A8">
        <w:rPr>
          <w:rFonts w:ascii="Arial" w:hAnsi="Arial" w:cs="Arial"/>
          <w:i/>
          <w:iCs/>
          <w:color w:val="000000"/>
          <w:sz w:val="28"/>
          <w:szCs w:val="28"/>
          <w:lang w:val="el-GR"/>
        </w:rPr>
        <w:lastRenderedPageBreak/>
        <w:t>οποιαδήποτε απαγόρευση που να αφορά στο Διευθυντή του Κτηματολογίου ή την Επαρχιακό Κτηματολογικό Λειτουργό Λεμεσού ή αντιπροσώπους τους στο να αποδεχτεί αίτηση μεταγραφής ακινήτου σύμφωνα με τις πρόνοιες του Μέρους</w:t>
      </w:r>
      <w:r w:rsidR="001111A8" w:rsidRPr="001111A8">
        <w:rPr>
          <w:rFonts w:ascii="Arial" w:hAnsi="Arial" w:cs="Arial"/>
          <w:i/>
          <w:iCs/>
          <w:color w:val="000000"/>
          <w:sz w:val="28"/>
          <w:szCs w:val="28"/>
        </w:rPr>
        <w:t> </w:t>
      </w:r>
      <w:r w:rsidR="001111A8" w:rsidRPr="001111A8">
        <w:rPr>
          <w:rFonts w:ascii="Arial" w:hAnsi="Arial" w:cs="Arial"/>
          <w:i/>
          <w:iCs/>
          <w:color w:val="000000"/>
          <w:sz w:val="28"/>
          <w:szCs w:val="28"/>
          <w:lang w:val="en-US"/>
        </w:rPr>
        <w:t>VIA</w:t>
      </w:r>
      <w:r w:rsidRPr="00272C0B">
        <w:rPr>
          <w:rFonts w:ascii="Arial" w:hAnsi="Arial" w:cs="Arial"/>
          <w:color w:val="000000"/>
          <w:sz w:val="28"/>
          <w:szCs w:val="28"/>
          <w:lang w:val="el-GR"/>
        </w:rPr>
        <w:t xml:space="preserve"> </w:t>
      </w:r>
      <w:r w:rsidRPr="001111A8">
        <w:rPr>
          <w:rFonts w:ascii="Arial" w:hAnsi="Arial" w:cs="Arial"/>
          <w:color w:val="000000"/>
          <w:sz w:val="28"/>
          <w:szCs w:val="28"/>
          <w:lang w:val="el-GR"/>
        </w:rPr>
        <w:t>του</w:t>
      </w:r>
      <w:r w:rsidRPr="001111A8">
        <w:rPr>
          <w:rFonts w:ascii="Arial" w:hAnsi="Arial" w:cs="Arial"/>
          <w:color w:val="000000"/>
          <w:sz w:val="28"/>
          <w:szCs w:val="28"/>
        </w:rPr>
        <w:t> </w:t>
      </w:r>
      <w:r w:rsidRPr="00272C0B">
        <w:rPr>
          <w:rFonts w:ascii="Arial" w:hAnsi="Arial" w:cs="Arial"/>
          <w:i/>
          <w:iCs/>
          <w:color w:val="000000"/>
          <w:sz w:val="28"/>
          <w:szCs w:val="28"/>
          <w:lang w:val="el-GR"/>
        </w:rPr>
        <w:t>περί Μεταβιβάσεως και Υποθηκεύσεως Ακινήτων Νόμου του 1965, Ν.9/1965</w:t>
      </w:r>
      <w:r w:rsidR="001111A8" w:rsidRPr="001111A8">
        <w:rPr>
          <w:rFonts w:ascii="Arial" w:hAnsi="Arial" w:cs="Arial"/>
          <w:color w:val="000000"/>
          <w:sz w:val="28"/>
          <w:szCs w:val="28"/>
          <w:lang w:val="el-GR"/>
        </w:rPr>
        <w:t>»</w:t>
      </w:r>
      <w:r w:rsidR="00173713">
        <w:rPr>
          <w:rFonts w:ascii="Arial" w:hAnsi="Arial" w:cs="Arial"/>
          <w:color w:val="000000"/>
          <w:sz w:val="28"/>
          <w:szCs w:val="28"/>
          <w:lang w:val="el-GR"/>
        </w:rPr>
        <w:t xml:space="preserve"> (βλ</w:t>
      </w:r>
      <w:r w:rsidR="001111A8" w:rsidRPr="001111A8">
        <w:rPr>
          <w:rFonts w:ascii="Arial" w:hAnsi="Arial" w:cs="Arial"/>
          <w:color w:val="000000"/>
          <w:sz w:val="28"/>
          <w:szCs w:val="28"/>
          <w:lang w:val="el-GR"/>
        </w:rPr>
        <w:t>.</w:t>
      </w:r>
      <w:r w:rsidR="00173713">
        <w:rPr>
          <w:rFonts w:ascii="Arial" w:hAnsi="Arial" w:cs="Arial"/>
          <w:color w:val="000000"/>
          <w:sz w:val="28"/>
          <w:szCs w:val="28"/>
          <w:lang w:val="el-GR"/>
        </w:rPr>
        <w:t xml:space="preserve"> </w:t>
      </w:r>
      <w:r w:rsidR="00173713" w:rsidRPr="00173713">
        <w:rPr>
          <w:rFonts w:ascii="Arial" w:hAnsi="Arial" w:cs="Arial"/>
          <w:b/>
          <w:bCs/>
          <w:i/>
          <w:iCs/>
          <w:color w:val="000000"/>
          <w:sz w:val="28"/>
          <w:szCs w:val="28"/>
          <w:lang w:val="el-GR"/>
        </w:rPr>
        <w:t>Μελανθίου ως πληρ. αντιπρ. του Γ. Μελανθίου ν. Μελανθίου (2011)1(Γ) Α.Α.Δ. 2342</w:t>
      </w:r>
      <w:r w:rsidR="00173713">
        <w:rPr>
          <w:rFonts w:ascii="Arial" w:hAnsi="Arial" w:cs="Arial"/>
          <w:color w:val="000000"/>
          <w:sz w:val="28"/>
          <w:szCs w:val="28"/>
          <w:lang w:val="el-GR"/>
        </w:rPr>
        <w:t>, 2348)</w:t>
      </w:r>
      <w:r w:rsidR="009B6629">
        <w:rPr>
          <w:rFonts w:ascii="Arial" w:hAnsi="Arial" w:cs="Arial"/>
          <w:color w:val="000000"/>
          <w:sz w:val="28"/>
          <w:szCs w:val="28"/>
          <w:lang w:val="el-GR"/>
        </w:rPr>
        <w:t>.</w:t>
      </w:r>
    </w:p>
    <w:p w14:paraId="678D4301" w14:textId="77777777" w:rsidR="00272C0B" w:rsidRDefault="00272C0B" w:rsidP="001111A8">
      <w:pPr>
        <w:spacing w:line="480" w:lineRule="auto"/>
        <w:jc w:val="both"/>
        <w:rPr>
          <w:rFonts w:ascii="Arial" w:hAnsi="Arial" w:cs="Arial"/>
          <w:color w:val="000000"/>
          <w:sz w:val="28"/>
          <w:szCs w:val="28"/>
          <w:lang w:val="el-GR"/>
        </w:rPr>
      </w:pPr>
    </w:p>
    <w:p w14:paraId="085AF666" w14:textId="09F274FF" w:rsidR="00017D56" w:rsidRDefault="00272C0B" w:rsidP="00017D56">
      <w:pPr>
        <w:spacing w:line="480" w:lineRule="auto"/>
        <w:jc w:val="both"/>
        <w:rPr>
          <w:rFonts w:ascii="Arial" w:hAnsi="Arial" w:cs="Arial"/>
          <w:b/>
          <w:bCs/>
          <w:i/>
          <w:iCs/>
          <w:color w:val="000000"/>
          <w:sz w:val="28"/>
          <w:szCs w:val="28"/>
          <w:lang w:val="el-GR"/>
        </w:rPr>
      </w:pPr>
      <w:r>
        <w:rPr>
          <w:rFonts w:ascii="Arial" w:hAnsi="Arial" w:cs="Arial"/>
          <w:color w:val="000000"/>
          <w:sz w:val="28"/>
          <w:szCs w:val="28"/>
          <w:lang w:val="el-GR"/>
        </w:rPr>
        <w:t xml:space="preserve">    Το πρωτόδικο Δικαστήριο ανέφερε ότι για να εκδοθεί προνομιακό ένταλμα</w:t>
      </w:r>
      <w:r w:rsidRPr="00272C0B">
        <w:rPr>
          <w:rFonts w:ascii="Arial" w:hAnsi="Arial" w:cs="Arial"/>
          <w:sz w:val="28"/>
          <w:szCs w:val="28"/>
          <w:lang w:val="el-GR"/>
        </w:rPr>
        <w:t xml:space="preserve"> </w:t>
      </w:r>
      <w:r>
        <w:rPr>
          <w:rFonts w:ascii="Arial" w:hAnsi="Arial" w:cs="Arial"/>
          <w:sz w:val="28"/>
          <w:szCs w:val="28"/>
          <w:lang w:val="en-US"/>
        </w:rPr>
        <w:t>mandamus</w:t>
      </w:r>
      <w:r>
        <w:rPr>
          <w:rFonts w:ascii="Arial" w:hAnsi="Arial" w:cs="Arial"/>
          <w:sz w:val="28"/>
          <w:szCs w:val="28"/>
          <w:lang w:val="el-GR"/>
        </w:rPr>
        <w:t>, πρέπει ο αιτητής να έχει το</w:t>
      </w:r>
      <w:r w:rsidRPr="00272C0B">
        <w:rPr>
          <w:rFonts w:ascii="Arial" w:hAnsi="Arial" w:cs="Arial"/>
          <w:i/>
          <w:iCs/>
          <w:color w:val="000000"/>
          <w:sz w:val="28"/>
          <w:szCs w:val="28"/>
          <w:lang w:val="el-GR"/>
        </w:rPr>
        <w:t xml:space="preserve"> </w:t>
      </w:r>
      <w:r w:rsidR="005A4BAB">
        <w:rPr>
          <w:rFonts w:ascii="Arial" w:hAnsi="Arial" w:cs="Arial"/>
          <w:color w:val="000000"/>
          <w:sz w:val="28"/>
          <w:szCs w:val="28"/>
          <w:lang w:val="el-GR"/>
        </w:rPr>
        <w:t>α</w:t>
      </w:r>
      <w:r w:rsidRPr="00272C0B">
        <w:rPr>
          <w:rFonts w:ascii="Arial" w:hAnsi="Arial" w:cs="Arial"/>
          <w:color w:val="000000"/>
          <w:sz w:val="28"/>
          <w:szCs w:val="28"/>
          <w:lang w:val="el-GR"/>
        </w:rPr>
        <w:t>ναγκαίο έννομο συμφέρον</w:t>
      </w:r>
      <w:r w:rsidR="00D10E43">
        <w:rPr>
          <w:rFonts w:ascii="Arial" w:hAnsi="Arial" w:cs="Arial"/>
          <w:color w:val="000000"/>
          <w:sz w:val="28"/>
          <w:szCs w:val="28"/>
          <w:lang w:val="el-GR"/>
        </w:rPr>
        <w:t xml:space="preserve">.  </w:t>
      </w:r>
      <w:r w:rsidR="00017D56">
        <w:rPr>
          <w:rFonts w:ascii="Arial" w:hAnsi="Arial" w:cs="Arial"/>
          <w:color w:val="000000"/>
          <w:sz w:val="28"/>
          <w:szCs w:val="28"/>
          <w:lang w:val="en-US"/>
        </w:rPr>
        <w:t>H</w:t>
      </w:r>
      <w:r w:rsidR="00017D56">
        <w:rPr>
          <w:rFonts w:ascii="Arial" w:hAnsi="Arial" w:cs="Arial"/>
          <w:color w:val="000000"/>
          <w:sz w:val="28"/>
          <w:szCs w:val="28"/>
          <w:lang w:val="el-GR"/>
        </w:rPr>
        <w:t xml:space="preserve"> νομιμοποίηση για ένταλμα </w:t>
      </w:r>
      <w:r w:rsidR="00017D56">
        <w:rPr>
          <w:rFonts w:ascii="Arial" w:hAnsi="Arial" w:cs="Arial"/>
          <w:sz w:val="28"/>
          <w:szCs w:val="28"/>
          <w:lang w:val="en-US"/>
        </w:rPr>
        <w:t>mandamus</w:t>
      </w:r>
      <w:r w:rsidR="00017D56">
        <w:rPr>
          <w:rFonts w:ascii="Arial" w:hAnsi="Arial" w:cs="Arial"/>
          <w:sz w:val="28"/>
          <w:szCs w:val="28"/>
          <w:lang w:val="el-GR"/>
        </w:rPr>
        <w:t xml:space="preserve">, ανέφερε, </w:t>
      </w:r>
      <w:r w:rsidR="00017D56">
        <w:rPr>
          <w:rFonts w:ascii="Arial" w:hAnsi="Arial" w:cs="Arial"/>
          <w:color w:val="000000"/>
          <w:sz w:val="28"/>
          <w:szCs w:val="28"/>
          <w:lang w:val="el-GR"/>
        </w:rPr>
        <w:t xml:space="preserve">βασίζεται στο επαρκές συμφέρον που διακρίνει τον αιτητή από τυχόν ευρύτερο σύνολο ενδιαφερομένων προσώπων, ως πρόσωπο το οποίο έχει άμεσο έννομο δικαίωμα και συμφέρον να απαιτήσει την εκτέλεση της πράξης και παρέπεμψε στην </w:t>
      </w:r>
      <w:r w:rsidR="00017D56">
        <w:rPr>
          <w:rFonts w:ascii="Arial" w:hAnsi="Arial" w:cs="Arial"/>
          <w:b/>
          <w:bCs/>
          <w:i/>
          <w:iCs/>
          <w:color w:val="000000"/>
          <w:sz w:val="28"/>
          <w:szCs w:val="28"/>
          <w:lang w:val="en-US"/>
        </w:rPr>
        <w:t>Palm</w:t>
      </w:r>
      <w:r w:rsidR="00017D56">
        <w:rPr>
          <w:rFonts w:ascii="Arial" w:hAnsi="Arial" w:cs="Arial"/>
          <w:b/>
          <w:bCs/>
          <w:i/>
          <w:iCs/>
          <w:color w:val="000000"/>
          <w:sz w:val="28"/>
          <w:szCs w:val="28"/>
          <w:lang w:val="el-GR"/>
        </w:rPr>
        <w:t>-</w:t>
      </w:r>
      <w:r w:rsidR="00017D56">
        <w:rPr>
          <w:rFonts w:ascii="Arial" w:hAnsi="Arial" w:cs="Arial"/>
          <w:b/>
          <w:bCs/>
          <w:i/>
          <w:iCs/>
          <w:color w:val="000000"/>
          <w:sz w:val="28"/>
          <w:szCs w:val="28"/>
          <w:lang w:val="en-US"/>
        </w:rPr>
        <w:t>Mount</w:t>
      </w:r>
      <w:r w:rsidR="00017D56">
        <w:rPr>
          <w:rFonts w:ascii="Arial" w:hAnsi="Arial" w:cs="Arial"/>
          <w:b/>
          <w:bCs/>
          <w:i/>
          <w:iCs/>
          <w:color w:val="000000"/>
          <w:sz w:val="28"/>
          <w:szCs w:val="28"/>
          <w:lang w:val="el-GR"/>
        </w:rPr>
        <w:t xml:space="preserve"> </w:t>
      </w:r>
      <w:r w:rsidR="00017D56">
        <w:rPr>
          <w:rFonts w:ascii="Arial" w:hAnsi="Arial" w:cs="Arial"/>
          <w:b/>
          <w:bCs/>
          <w:i/>
          <w:iCs/>
          <w:color w:val="000000"/>
          <w:sz w:val="28"/>
          <w:szCs w:val="28"/>
          <w:lang w:val="en-US"/>
        </w:rPr>
        <w:t>Holdings</w:t>
      </w:r>
      <w:r w:rsidR="00017D56">
        <w:rPr>
          <w:rFonts w:ascii="Arial" w:hAnsi="Arial" w:cs="Arial"/>
          <w:b/>
          <w:bCs/>
          <w:i/>
          <w:iCs/>
          <w:color w:val="000000"/>
          <w:sz w:val="28"/>
          <w:szCs w:val="28"/>
          <w:lang w:val="el-GR"/>
        </w:rPr>
        <w:t xml:space="preserve"> </w:t>
      </w:r>
      <w:r w:rsidR="00017D56">
        <w:rPr>
          <w:rFonts w:ascii="Arial" w:hAnsi="Arial" w:cs="Arial"/>
          <w:b/>
          <w:bCs/>
          <w:i/>
          <w:iCs/>
          <w:color w:val="000000"/>
          <w:sz w:val="28"/>
          <w:szCs w:val="28"/>
          <w:lang w:val="en-US"/>
        </w:rPr>
        <w:t>Ltd</w:t>
      </w:r>
      <w:r w:rsidR="00017D56">
        <w:rPr>
          <w:rFonts w:ascii="Arial" w:hAnsi="Arial" w:cs="Arial"/>
          <w:b/>
          <w:bCs/>
          <w:i/>
          <w:iCs/>
          <w:color w:val="000000"/>
          <w:sz w:val="28"/>
          <w:szCs w:val="28"/>
          <w:lang w:val="el-GR"/>
        </w:rPr>
        <w:t>, Πολ. Έφ. Αρ.413/2016, ημερ.3.4.2018.</w:t>
      </w:r>
    </w:p>
    <w:p w14:paraId="4A0640E5" w14:textId="3655CF6F" w:rsidR="00017D56" w:rsidRDefault="005A4BAB" w:rsidP="001111A8">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w:t>
      </w:r>
    </w:p>
    <w:p w14:paraId="375DF563" w14:textId="47986438" w:rsidR="002A1D0A" w:rsidRDefault="00017D56" w:rsidP="00702DFA">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w:t>
      </w:r>
      <w:r w:rsidR="00D10E43">
        <w:rPr>
          <w:rFonts w:ascii="Arial" w:hAnsi="Arial" w:cs="Arial"/>
          <w:color w:val="000000"/>
          <w:sz w:val="28"/>
          <w:szCs w:val="28"/>
          <w:lang w:val="el-GR"/>
        </w:rPr>
        <w:t>Α</w:t>
      </w:r>
      <w:r w:rsidR="00A44F25">
        <w:rPr>
          <w:rFonts w:ascii="Arial" w:hAnsi="Arial" w:cs="Arial"/>
          <w:color w:val="000000"/>
          <w:sz w:val="28"/>
          <w:szCs w:val="28"/>
          <w:lang w:val="el-GR"/>
        </w:rPr>
        <w:t>φού επισήμανε ότι η α</w:t>
      </w:r>
      <w:r w:rsidR="005A4BAB">
        <w:rPr>
          <w:rFonts w:ascii="Arial" w:hAnsi="Arial" w:cs="Arial"/>
          <w:color w:val="000000"/>
          <w:sz w:val="28"/>
          <w:szCs w:val="28"/>
          <w:lang w:val="el-GR"/>
        </w:rPr>
        <w:t>ιτούμενη θεραπεία για ακύρωση τ</w:t>
      </w:r>
      <w:r w:rsidR="00D10E43">
        <w:rPr>
          <w:rFonts w:ascii="Arial" w:hAnsi="Arial" w:cs="Arial"/>
          <w:color w:val="000000"/>
          <w:sz w:val="28"/>
          <w:szCs w:val="28"/>
          <w:lang w:val="el-GR"/>
        </w:rPr>
        <w:t>ων</w:t>
      </w:r>
      <w:r w:rsidR="005A4BAB">
        <w:rPr>
          <w:rFonts w:ascii="Arial" w:hAnsi="Arial" w:cs="Arial"/>
          <w:color w:val="000000"/>
          <w:sz w:val="28"/>
          <w:szCs w:val="28"/>
          <w:lang w:val="el-GR"/>
        </w:rPr>
        <w:t xml:space="preserve"> μεταβ</w:t>
      </w:r>
      <w:r w:rsidR="00D10E43">
        <w:rPr>
          <w:rFonts w:ascii="Arial" w:hAnsi="Arial" w:cs="Arial"/>
          <w:color w:val="000000"/>
          <w:sz w:val="28"/>
          <w:szCs w:val="28"/>
          <w:lang w:val="el-GR"/>
        </w:rPr>
        <w:t>ιβάσεων</w:t>
      </w:r>
      <w:r w:rsidR="005A4BAB">
        <w:rPr>
          <w:rFonts w:ascii="Arial" w:hAnsi="Arial" w:cs="Arial"/>
          <w:color w:val="000000"/>
          <w:sz w:val="28"/>
          <w:szCs w:val="28"/>
          <w:lang w:val="el-GR"/>
        </w:rPr>
        <w:t xml:space="preserve"> δεν αφορ</w:t>
      </w:r>
      <w:r w:rsidR="00A44F25">
        <w:rPr>
          <w:rFonts w:ascii="Arial" w:hAnsi="Arial" w:cs="Arial"/>
          <w:color w:val="000000"/>
          <w:sz w:val="28"/>
          <w:szCs w:val="28"/>
          <w:lang w:val="el-GR"/>
        </w:rPr>
        <w:t>ούσε</w:t>
      </w:r>
      <w:r w:rsidR="005A4BAB">
        <w:rPr>
          <w:rFonts w:ascii="Arial" w:hAnsi="Arial" w:cs="Arial"/>
          <w:color w:val="000000"/>
          <w:sz w:val="28"/>
          <w:szCs w:val="28"/>
          <w:lang w:val="el-GR"/>
        </w:rPr>
        <w:t xml:space="preserve"> σε ακίνητη περιουσία ιδιοκτησίας του </w:t>
      </w:r>
      <w:r w:rsidR="00A44F25">
        <w:rPr>
          <w:rFonts w:ascii="Arial" w:hAnsi="Arial" w:cs="Arial"/>
          <w:color w:val="000000"/>
          <w:sz w:val="28"/>
          <w:szCs w:val="28"/>
          <w:lang w:val="el-GR"/>
        </w:rPr>
        <w:t>Εφεσείοντα</w:t>
      </w:r>
      <w:r w:rsidR="005A4BAB">
        <w:rPr>
          <w:rFonts w:ascii="Arial" w:hAnsi="Arial" w:cs="Arial"/>
          <w:color w:val="000000"/>
          <w:sz w:val="28"/>
          <w:szCs w:val="28"/>
          <w:lang w:val="el-GR"/>
        </w:rPr>
        <w:t xml:space="preserve"> αλλά </w:t>
      </w:r>
      <w:r w:rsidR="00A44F25">
        <w:rPr>
          <w:rFonts w:ascii="Arial" w:hAnsi="Arial" w:cs="Arial"/>
          <w:color w:val="000000"/>
          <w:sz w:val="28"/>
          <w:szCs w:val="28"/>
          <w:lang w:val="el-GR"/>
        </w:rPr>
        <w:t xml:space="preserve">των εταιρειών, ανέφερε πως ουδεμία σημασία είχε </w:t>
      </w:r>
      <w:r w:rsidR="005A4BAB">
        <w:rPr>
          <w:rFonts w:ascii="Arial" w:hAnsi="Arial" w:cs="Arial"/>
          <w:color w:val="000000"/>
          <w:sz w:val="28"/>
          <w:szCs w:val="28"/>
          <w:lang w:val="el-GR"/>
        </w:rPr>
        <w:t xml:space="preserve">ότι ο </w:t>
      </w:r>
      <w:r w:rsidR="00A44F25">
        <w:rPr>
          <w:rFonts w:ascii="Arial" w:hAnsi="Arial" w:cs="Arial"/>
          <w:color w:val="000000"/>
          <w:sz w:val="28"/>
          <w:szCs w:val="28"/>
          <w:lang w:val="el-GR"/>
        </w:rPr>
        <w:t>Εφεσείων ήταν</w:t>
      </w:r>
      <w:r w:rsidR="005A4BAB">
        <w:rPr>
          <w:rFonts w:ascii="Arial" w:hAnsi="Arial" w:cs="Arial"/>
          <w:color w:val="000000"/>
          <w:sz w:val="28"/>
          <w:szCs w:val="28"/>
          <w:lang w:val="el-GR"/>
        </w:rPr>
        <w:t xml:space="preserve"> ο </w:t>
      </w:r>
      <w:r w:rsidR="00A44F25">
        <w:rPr>
          <w:rFonts w:ascii="Arial" w:hAnsi="Arial" w:cs="Arial"/>
          <w:color w:val="000000"/>
          <w:sz w:val="28"/>
          <w:szCs w:val="28"/>
          <w:lang w:val="el-GR"/>
        </w:rPr>
        <w:t>δ</w:t>
      </w:r>
      <w:r w:rsidR="005A4BAB">
        <w:rPr>
          <w:rFonts w:ascii="Arial" w:hAnsi="Arial" w:cs="Arial"/>
          <w:color w:val="000000"/>
          <w:sz w:val="28"/>
          <w:szCs w:val="28"/>
          <w:lang w:val="el-GR"/>
        </w:rPr>
        <w:t>ιευθυντής και «</w:t>
      </w:r>
      <w:r w:rsidR="005A4BAB">
        <w:rPr>
          <w:rFonts w:ascii="Arial" w:hAnsi="Arial" w:cs="Arial"/>
          <w:i/>
          <w:iCs/>
          <w:color w:val="000000"/>
          <w:sz w:val="28"/>
          <w:szCs w:val="28"/>
          <w:lang w:val="el-GR"/>
        </w:rPr>
        <w:t>ιδιοκτήτης</w:t>
      </w:r>
      <w:r w:rsidR="005A4BAB">
        <w:rPr>
          <w:rFonts w:ascii="Arial" w:hAnsi="Arial" w:cs="Arial"/>
          <w:color w:val="000000"/>
          <w:sz w:val="28"/>
          <w:szCs w:val="28"/>
          <w:lang w:val="el-GR"/>
        </w:rPr>
        <w:t xml:space="preserve">» των εταιρειών, </w:t>
      </w:r>
      <w:r w:rsidR="00A44F25">
        <w:rPr>
          <w:rFonts w:ascii="Arial" w:hAnsi="Arial" w:cs="Arial"/>
          <w:color w:val="000000"/>
          <w:sz w:val="28"/>
          <w:szCs w:val="28"/>
          <w:lang w:val="el-GR"/>
        </w:rPr>
        <w:t xml:space="preserve">ακόμα και αν </w:t>
      </w:r>
      <w:r w:rsidR="00A44F25">
        <w:rPr>
          <w:rFonts w:ascii="Arial" w:hAnsi="Arial" w:cs="Arial"/>
          <w:color w:val="000000"/>
          <w:sz w:val="28"/>
          <w:szCs w:val="28"/>
          <w:lang w:val="el-GR"/>
        </w:rPr>
        <w:lastRenderedPageBreak/>
        <w:t>ήταν</w:t>
      </w:r>
      <w:r w:rsidR="005A4BAB">
        <w:rPr>
          <w:rFonts w:ascii="Arial" w:hAnsi="Arial" w:cs="Arial"/>
          <w:color w:val="000000"/>
          <w:sz w:val="28"/>
          <w:szCs w:val="28"/>
          <w:lang w:val="el-GR"/>
        </w:rPr>
        <w:t xml:space="preserve"> ο κύριος μέτοχος</w:t>
      </w:r>
      <w:r w:rsidR="00A44F25">
        <w:rPr>
          <w:rFonts w:ascii="Arial" w:hAnsi="Arial" w:cs="Arial"/>
          <w:color w:val="000000"/>
          <w:sz w:val="28"/>
          <w:szCs w:val="28"/>
          <w:lang w:val="el-GR"/>
        </w:rPr>
        <w:t xml:space="preserve"> τους</w:t>
      </w:r>
      <w:r w:rsidR="005A4BAB">
        <w:rPr>
          <w:rFonts w:ascii="Arial" w:hAnsi="Arial" w:cs="Arial"/>
          <w:color w:val="000000"/>
          <w:sz w:val="28"/>
          <w:szCs w:val="28"/>
          <w:lang w:val="el-GR"/>
        </w:rPr>
        <w:t>.</w:t>
      </w:r>
      <w:r w:rsidR="005A4BAB">
        <w:rPr>
          <w:rFonts w:ascii="Arial" w:hAnsi="Arial" w:cs="Arial"/>
          <w:color w:val="000000"/>
        </w:rPr>
        <w:t> </w:t>
      </w:r>
      <w:r w:rsidR="00A44F25">
        <w:rPr>
          <w:rFonts w:ascii="Arial" w:hAnsi="Arial" w:cs="Arial"/>
          <w:color w:val="000000"/>
          <w:lang w:val="el-GR"/>
        </w:rPr>
        <w:t xml:space="preserve"> </w:t>
      </w:r>
      <w:r w:rsidR="00A44F25" w:rsidRPr="00A44F25">
        <w:rPr>
          <w:rFonts w:ascii="Arial" w:hAnsi="Arial" w:cs="Arial"/>
          <w:color w:val="000000"/>
          <w:sz w:val="28"/>
          <w:szCs w:val="28"/>
          <w:lang w:val="el-GR"/>
        </w:rPr>
        <w:t xml:space="preserve">Και </w:t>
      </w:r>
      <w:r w:rsidR="002A1D0A">
        <w:rPr>
          <w:rFonts w:ascii="Arial" w:hAnsi="Arial" w:cs="Arial"/>
          <w:color w:val="000000"/>
          <w:sz w:val="28"/>
          <w:szCs w:val="28"/>
          <w:lang w:val="el-GR"/>
        </w:rPr>
        <w:t>μνημόνευσε την αναφορά στη</w:t>
      </w:r>
      <w:r w:rsidR="002A1D0A" w:rsidRPr="002A1D0A">
        <w:rPr>
          <w:rFonts w:ascii="Arial" w:hAnsi="Arial" w:cs="Arial"/>
          <w:b/>
          <w:bCs/>
          <w:i/>
          <w:iCs/>
          <w:color w:val="000000"/>
          <w:sz w:val="28"/>
          <w:szCs w:val="28"/>
          <w:lang w:val="el-GR"/>
        </w:rPr>
        <w:t xml:space="preserve"> </w:t>
      </w:r>
      <w:r w:rsidR="002A1D0A" w:rsidRPr="00E529E9">
        <w:rPr>
          <w:rFonts w:ascii="Arial" w:hAnsi="Arial" w:cs="Arial"/>
          <w:b/>
          <w:bCs/>
          <w:i/>
          <w:iCs/>
          <w:color w:val="000000"/>
          <w:sz w:val="28"/>
          <w:szCs w:val="28"/>
          <w:lang w:val="en-US"/>
        </w:rPr>
        <w:t>Lindos</w:t>
      </w:r>
      <w:r w:rsidR="002A1D0A" w:rsidRPr="00E529E9">
        <w:rPr>
          <w:rFonts w:ascii="Arial" w:hAnsi="Arial" w:cs="Arial"/>
          <w:b/>
          <w:bCs/>
          <w:i/>
          <w:iCs/>
          <w:color w:val="000000"/>
          <w:sz w:val="28"/>
          <w:szCs w:val="28"/>
          <w:lang w:val="el-GR"/>
        </w:rPr>
        <w:t xml:space="preserve"> </w:t>
      </w:r>
      <w:r w:rsidR="002A1D0A" w:rsidRPr="00E529E9">
        <w:rPr>
          <w:rFonts w:ascii="Arial" w:hAnsi="Arial" w:cs="Arial"/>
          <w:b/>
          <w:bCs/>
          <w:i/>
          <w:iCs/>
          <w:color w:val="000000"/>
          <w:sz w:val="28"/>
          <w:szCs w:val="28"/>
          <w:lang w:val="en-US"/>
        </w:rPr>
        <w:t>Constr</w:t>
      </w:r>
      <w:r w:rsidR="002A1D0A" w:rsidRPr="00E529E9">
        <w:rPr>
          <w:rFonts w:ascii="Arial" w:hAnsi="Arial" w:cs="Arial"/>
          <w:b/>
          <w:bCs/>
          <w:i/>
          <w:iCs/>
          <w:color w:val="000000"/>
          <w:sz w:val="28"/>
          <w:szCs w:val="28"/>
          <w:lang w:val="el-GR"/>
        </w:rPr>
        <w:t xml:space="preserve">. </w:t>
      </w:r>
      <w:r w:rsidR="002A1D0A" w:rsidRPr="00E529E9">
        <w:rPr>
          <w:rFonts w:ascii="Arial" w:hAnsi="Arial" w:cs="Arial"/>
          <w:b/>
          <w:bCs/>
          <w:i/>
          <w:iCs/>
          <w:color w:val="000000"/>
          <w:sz w:val="28"/>
          <w:szCs w:val="28"/>
          <w:lang w:val="en-US"/>
        </w:rPr>
        <w:t>Ltd</w:t>
      </w:r>
      <w:r w:rsidR="002A1D0A" w:rsidRPr="00E529E9">
        <w:rPr>
          <w:rFonts w:ascii="Arial" w:hAnsi="Arial" w:cs="Arial"/>
          <w:b/>
          <w:bCs/>
          <w:i/>
          <w:iCs/>
          <w:color w:val="000000"/>
          <w:sz w:val="28"/>
          <w:szCs w:val="28"/>
          <w:lang w:val="el-GR"/>
        </w:rPr>
        <w:t xml:space="preserve"> ν. Διευθ. Κοιν. Ασφαλ. (1993) 1 Α.Α.Δ.17</w:t>
      </w:r>
      <w:r w:rsidR="002A1D0A">
        <w:rPr>
          <w:rFonts w:ascii="Arial" w:hAnsi="Arial" w:cs="Arial"/>
          <w:color w:val="000000"/>
          <w:sz w:val="28"/>
          <w:szCs w:val="28"/>
          <w:lang w:val="el-GR"/>
        </w:rPr>
        <w:t>, 21, ότι</w:t>
      </w:r>
      <w:r w:rsidR="00A44F25">
        <w:rPr>
          <w:rFonts w:ascii="Arial" w:hAnsi="Arial" w:cs="Arial"/>
          <w:color w:val="000000"/>
          <w:sz w:val="28"/>
          <w:szCs w:val="28"/>
          <w:lang w:val="el-GR"/>
        </w:rPr>
        <w:t>:</w:t>
      </w:r>
    </w:p>
    <w:p w14:paraId="620F1403" w14:textId="77777777" w:rsidR="006E0372" w:rsidRDefault="006E0372" w:rsidP="002A1D0A">
      <w:pPr>
        <w:ind w:left="450"/>
        <w:jc w:val="both"/>
        <w:rPr>
          <w:rFonts w:ascii="Arial" w:hAnsi="Arial" w:cs="Arial"/>
          <w:color w:val="000000"/>
          <w:sz w:val="28"/>
          <w:szCs w:val="28"/>
          <w:lang w:val="el-GR"/>
        </w:rPr>
      </w:pPr>
    </w:p>
    <w:p w14:paraId="3535E387" w14:textId="30AFC46B" w:rsidR="00017D56" w:rsidRDefault="002A1D0A" w:rsidP="002A1D0A">
      <w:pPr>
        <w:ind w:left="450"/>
        <w:jc w:val="both"/>
        <w:rPr>
          <w:rFonts w:ascii="Arial" w:hAnsi="Arial" w:cs="Arial"/>
          <w:color w:val="000000"/>
          <w:sz w:val="28"/>
          <w:szCs w:val="28"/>
          <w:lang w:val="el-GR"/>
        </w:rPr>
      </w:pPr>
      <w:r>
        <w:rPr>
          <w:rFonts w:ascii="Arial" w:hAnsi="Arial" w:cs="Arial"/>
          <w:color w:val="000000"/>
          <w:sz w:val="28"/>
          <w:szCs w:val="28"/>
          <w:lang w:val="el-GR"/>
        </w:rPr>
        <w:t>«</w:t>
      </w:r>
      <w:r w:rsidR="005A4BAB">
        <w:rPr>
          <w:rFonts w:ascii="Arial" w:hAnsi="Arial" w:cs="Arial"/>
          <w:color w:val="000000"/>
          <w:sz w:val="28"/>
          <w:szCs w:val="28"/>
          <w:lang w:val="el-GR"/>
        </w:rPr>
        <w:t xml:space="preserve">Ο ιδιαίτερος δεσμός του Διευθυντή με την εταιρεία δεν εξομοιώνει τα δύο. </w:t>
      </w:r>
      <w:r>
        <w:rPr>
          <w:rFonts w:ascii="Arial" w:hAnsi="Arial" w:cs="Arial"/>
          <w:color w:val="000000"/>
          <w:sz w:val="28"/>
          <w:szCs w:val="28"/>
          <w:lang w:val="el-GR"/>
        </w:rPr>
        <w:t xml:space="preserve"> </w:t>
      </w:r>
      <w:r w:rsidR="005A4BAB">
        <w:rPr>
          <w:rFonts w:ascii="Arial" w:hAnsi="Arial" w:cs="Arial"/>
          <w:color w:val="000000"/>
          <w:sz w:val="28"/>
          <w:szCs w:val="28"/>
          <w:lang w:val="el-GR"/>
        </w:rPr>
        <w:t>Η σύμπτωση των ιδιοτήτων του Διευθυντή και του μετόχου, έστω του κύριου μετόχου, στο ίδιο πρόσωπο, δεν διαφοροποιεί την κατάσταση. Είναι βαθιά εμπεδωμένη στο εταιρικό δίκαιο η έννοια της αυτοτέλειας της εταιρείας ως αυθύπαρκτης νομικής οντότητας ξεχωριστής από τους μετόχους της</w:t>
      </w:r>
      <w:r w:rsidR="00017D56">
        <w:rPr>
          <w:rFonts w:ascii="Arial" w:hAnsi="Arial" w:cs="Arial"/>
          <w:color w:val="000000"/>
          <w:sz w:val="28"/>
          <w:szCs w:val="28"/>
          <w:lang w:val="el-GR"/>
        </w:rPr>
        <w:t xml:space="preserve"> </w:t>
      </w:r>
      <w:r>
        <w:rPr>
          <w:rFonts w:ascii="Arial" w:hAnsi="Arial" w:cs="Arial"/>
          <w:color w:val="000000"/>
          <w:sz w:val="28"/>
          <w:szCs w:val="28"/>
          <w:lang w:val="el-GR"/>
        </w:rPr>
        <w:t>(</w:t>
      </w:r>
      <w:r w:rsidR="005A4BAB">
        <w:rPr>
          <w:rFonts w:ascii="Arial" w:hAnsi="Arial" w:cs="Arial"/>
          <w:b/>
          <w:bCs/>
          <w:i/>
          <w:iCs/>
          <w:color w:val="000000"/>
          <w:sz w:val="28"/>
          <w:szCs w:val="28"/>
        </w:rPr>
        <w:t>Salomon</w:t>
      </w:r>
      <w:r w:rsidR="005A4BAB">
        <w:rPr>
          <w:rFonts w:ascii="Arial" w:hAnsi="Arial" w:cs="Arial"/>
          <w:b/>
          <w:bCs/>
          <w:i/>
          <w:iCs/>
          <w:color w:val="000000"/>
          <w:sz w:val="28"/>
          <w:szCs w:val="28"/>
          <w:lang w:val="el-GR"/>
        </w:rPr>
        <w:t xml:space="preserve"> </w:t>
      </w:r>
      <w:r w:rsidR="005A4BAB">
        <w:rPr>
          <w:rFonts w:ascii="Arial" w:hAnsi="Arial" w:cs="Arial"/>
          <w:b/>
          <w:bCs/>
          <w:i/>
          <w:iCs/>
          <w:color w:val="000000"/>
          <w:sz w:val="28"/>
          <w:szCs w:val="28"/>
        </w:rPr>
        <w:t>v</w:t>
      </w:r>
      <w:r w:rsidR="005A4BAB">
        <w:rPr>
          <w:rFonts w:ascii="Arial" w:hAnsi="Arial" w:cs="Arial"/>
          <w:b/>
          <w:bCs/>
          <w:i/>
          <w:iCs/>
          <w:color w:val="000000"/>
          <w:sz w:val="28"/>
          <w:szCs w:val="28"/>
          <w:lang w:val="el-GR"/>
        </w:rPr>
        <w:t xml:space="preserve">. </w:t>
      </w:r>
      <w:r w:rsidR="005A4BAB">
        <w:rPr>
          <w:rFonts w:ascii="Arial" w:hAnsi="Arial" w:cs="Arial"/>
          <w:b/>
          <w:bCs/>
          <w:i/>
          <w:iCs/>
          <w:color w:val="000000"/>
          <w:sz w:val="28"/>
          <w:szCs w:val="28"/>
        </w:rPr>
        <w:t>Salomon</w:t>
      </w:r>
      <w:r w:rsidR="005A4BAB">
        <w:rPr>
          <w:rFonts w:ascii="Arial" w:hAnsi="Arial" w:cs="Arial"/>
          <w:i/>
          <w:iCs/>
          <w:color w:val="000000"/>
          <w:sz w:val="28"/>
          <w:szCs w:val="28"/>
          <w:lang w:val="el-GR"/>
        </w:rPr>
        <w:t xml:space="preserve"> </w:t>
      </w:r>
      <w:r w:rsidR="005A4BAB">
        <w:rPr>
          <w:rFonts w:ascii="Arial" w:hAnsi="Arial" w:cs="Arial"/>
          <w:b/>
          <w:bCs/>
          <w:i/>
          <w:iCs/>
          <w:color w:val="000000"/>
          <w:sz w:val="28"/>
          <w:szCs w:val="28"/>
          <w:lang w:val="el-GR"/>
        </w:rPr>
        <w:t xml:space="preserve">[1897] </w:t>
      </w:r>
      <w:r w:rsidR="005A4BAB">
        <w:rPr>
          <w:rFonts w:ascii="Arial" w:hAnsi="Arial" w:cs="Arial"/>
          <w:b/>
          <w:bCs/>
          <w:i/>
          <w:iCs/>
          <w:color w:val="000000"/>
          <w:sz w:val="28"/>
          <w:szCs w:val="28"/>
          <w:lang w:val="en-US"/>
        </w:rPr>
        <w:t>A</w:t>
      </w:r>
      <w:r w:rsidR="005A4BAB">
        <w:rPr>
          <w:rFonts w:ascii="Arial" w:hAnsi="Arial" w:cs="Arial"/>
          <w:b/>
          <w:bCs/>
          <w:i/>
          <w:iCs/>
          <w:color w:val="000000"/>
          <w:sz w:val="28"/>
          <w:szCs w:val="28"/>
          <w:lang w:val="el-GR"/>
        </w:rPr>
        <w:t>.</w:t>
      </w:r>
      <w:r w:rsidR="005A4BAB">
        <w:rPr>
          <w:rFonts w:ascii="Arial" w:hAnsi="Arial" w:cs="Arial"/>
          <w:b/>
          <w:bCs/>
          <w:i/>
          <w:iCs/>
          <w:color w:val="000000"/>
          <w:sz w:val="28"/>
          <w:szCs w:val="28"/>
          <w:lang w:val="en-US"/>
        </w:rPr>
        <w:t>C</w:t>
      </w:r>
      <w:r w:rsidR="005A4BAB">
        <w:rPr>
          <w:rFonts w:ascii="Arial" w:hAnsi="Arial" w:cs="Arial"/>
          <w:b/>
          <w:bCs/>
          <w:i/>
          <w:iCs/>
          <w:color w:val="000000"/>
          <w:sz w:val="28"/>
          <w:szCs w:val="28"/>
          <w:lang w:val="el-GR"/>
        </w:rPr>
        <w:t>. 22</w:t>
      </w:r>
      <w:r>
        <w:rPr>
          <w:rFonts w:ascii="Arial" w:hAnsi="Arial" w:cs="Arial"/>
          <w:color w:val="000000"/>
          <w:sz w:val="28"/>
          <w:szCs w:val="28"/>
          <w:lang w:val="el-GR"/>
        </w:rPr>
        <w:t>).».</w:t>
      </w:r>
    </w:p>
    <w:p w14:paraId="670B6B5B" w14:textId="77777777" w:rsidR="002A1D0A" w:rsidRPr="00E529E9" w:rsidRDefault="002A1D0A" w:rsidP="002A1D0A">
      <w:pPr>
        <w:ind w:left="450"/>
        <w:jc w:val="both"/>
        <w:rPr>
          <w:rFonts w:ascii="Arial" w:hAnsi="Arial" w:cs="Arial"/>
          <w:b/>
          <w:bCs/>
          <w:i/>
          <w:iCs/>
          <w:color w:val="000000"/>
          <w:sz w:val="28"/>
          <w:szCs w:val="28"/>
          <w:lang w:val="el-GR"/>
        </w:rPr>
      </w:pPr>
    </w:p>
    <w:p w14:paraId="282428A9" w14:textId="49B589EE" w:rsidR="001111A8" w:rsidRPr="001111A8" w:rsidRDefault="005A4BAB" w:rsidP="00017D56">
      <w:pPr>
        <w:spacing w:line="480" w:lineRule="auto"/>
        <w:jc w:val="both"/>
        <w:rPr>
          <w:rFonts w:ascii="Arial" w:hAnsi="Arial" w:cs="Arial"/>
          <w:sz w:val="28"/>
          <w:szCs w:val="28"/>
          <w:lang w:val="el-GR"/>
        </w:rPr>
      </w:pPr>
      <w:r>
        <w:rPr>
          <w:rFonts w:ascii="Arial" w:hAnsi="Arial" w:cs="Arial"/>
          <w:b/>
          <w:bCs/>
          <w:i/>
          <w:iCs/>
          <w:color w:val="000000"/>
          <w:sz w:val="28"/>
          <w:szCs w:val="28"/>
        </w:rPr>
        <w:t> </w:t>
      </w:r>
    </w:p>
    <w:p w14:paraId="74FC9794" w14:textId="3873C57F" w:rsidR="009E2F78" w:rsidRDefault="009E2F78" w:rsidP="009E2F78">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w:t>
      </w:r>
      <w:r w:rsidR="002A1D0A">
        <w:rPr>
          <w:rFonts w:ascii="Arial" w:hAnsi="Arial" w:cs="Arial"/>
          <w:color w:val="000000"/>
          <w:sz w:val="28"/>
          <w:szCs w:val="28"/>
          <w:lang w:val="el-GR"/>
        </w:rPr>
        <w:t>Σε αυτή τη βάση και ε</w:t>
      </w:r>
      <w:r>
        <w:rPr>
          <w:rFonts w:ascii="Arial" w:hAnsi="Arial" w:cs="Arial"/>
          <w:color w:val="000000"/>
          <w:sz w:val="28"/>
          <w:szCs w:val="28"/>
          <w:lang w:val="el-GR"/>
        </w:rPr>
        <w:t xml:space="preserve">φόσον ο Εφεσείων δεν ήταν ο ιδιοκτήτης των ακινήτων </w:t>
      </w:r>
      <w:r w:rsidR="002A1D0A">
        <w:rPr>
          <w:rFonts w:ascii="Arial" w:hAnsi="Arial" w:cs="Arial"/>
          <w:color w:val="000000"/>
          <w:sz w:val="28"/>
          <w:szCs w:val="28"/>
          <w:lang w:val="el-GR"/>
        </w:rPr>
        <w:t xml:space="preserve">το πρωτόδικο Δικαστήριο κατέληξε ότι αυτός </w:t>
      </w:r>
      <w:r>
        <w:rPr>
          <w:rFonts w:ascii="Arial" w:hAnsi="Arial" w:cs="Arial"/>
          <w:color w:val="000000"/>
          <w:sz w:val="28"/>
          <w:szCs w:val="28"/>
          <w:lang w:val="el-GR"/>
        </w:rPr>
        <w:t>δεν νομιμοποιείτο στην επιδίωξη του προνομιακού εντάλματος</w:t>
      </w:r>
      <w:r w:rsidR="002A1D0A">
        <w:rPr>
          <w:rFonts w:ascii="Arial" w:hAnsi="Arial" w:cs="Arial"/>
          <w:color w:val="000000"/>
          <w:sz w:val="28"/>
          <w:szCs w:val="28"/>
          <w:lang w:val="el-GR"/>
        </w:rPr>
        <w:t xml:space="preserve"> και απέρριψε την αίτηση</w:t>
      </w:r>
      <w:r>
        <w:rPr>
          <w:rFonts w:ascii="Arial" w:hAnsi="Arial" w:cs="Arial"/>
          <w:color w:val="000000"/>
          <w:sz w:val="28"/>
          <w:szCs w:val="28"/>
          <w:lang w:val="el-GR"/>
        </w:rPr>
        <w:t xml:space="preserve">.  Η κατάληξη αυτή προσβάλλεται με το λόγο έφεσης 1.  </w:t>
      </w:r>
    </w:p>
    <w:p w14:paraId="1C329575" w14:textId="77777777" w:rsidR="002E4C8C" w:rsidRDefault="002E4C8C" w:rsidP="009E2F78">
      <w:pPr>
        <w:spacing w:line="480" w:lineRule="auto"/>
        <w:jc w:val="both"/>
        <w:rPr>
          <w:rFonts w:ascii="Arial" w:hAnsi="Arial" w:cs="Arial"/>
          <w:color w:val="000000"/>
          <w:sz w:val="28"/>
          <w:szCs w:val="28"/>
          <w:lang w:val="el-GR"/>
        </w:rPr>
      </w:pPr>
    </w:p>
    <w:p w14:paraId="42E5F783" w14:textId="5F45BEEA" w:rsidR="00702DFA" w:rsidRDefault="002E4C8C" w:rsidP="009E2F78">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Η θέση που προβλήθηκε </w:t>
      </w:r>
      <w:r w:rsidR="00D10E43">
        <w:rPr>
          <w:rFonts w:ascii="Arial" w:hAnsi="Arial" w:cs="Arial"/>
          <w:color w:val="000000"/>
          <w:sz w:val="28"/>
          <w:szCs w:val="28"/>
          <w:lang w:val="el-GR"/>
        </w:rPr>
        <w:t xml:space="preserve">ενώπιον μας </w:t>
      </w:r>
      <w:r>
        <w:rPr>
          <w:rFonts w:ascii="Arial" w:hAnsi="Arial" w:cs="Arial"/>
          <w:color w:val="000000"/>
          <w:sz w:val="28"/>
          <w:szCs w:val="28"/>
          <w:lang w:val="el-GR"/>
        </w:rPr>
        <w:t>ότι ο Εφεσείων «</w:t>
      </w:r>
      <w:r w:rsidRPr="002E4C8C">
        <w:rPr>
          <w:rFonts w:ascii="Arial" w:hAnsi="Arial" w:cs="Arial"/>
          <w:i/>
          <w:iCs/>
          <w:color w:val="000000"/>
          <w:sz w:val="28"/>
          <w:szCs w:val="28"/>
          <w:lang w:val="el-GR"/>
        </w:rPr>
        <w:t>επηρεάζεται προσωπικά για ένα ιδιωτικό θέμα</w:t>
      </w:r>
      <w:r>
        <w:rPr>
          <w:rFonts w:ascii="Arial" w:hAnsi="Arial" w:cs="Arial"/>
          <w:color w:val="000000"/>
          <w:sz w:val="28"/>
          <w:szCs w:val="28"/>
          <w:lang w:val="el-GR"/>
        </w:rPr>
        <w:t>» δεν μεταβάλλει τη νομική προσέγγιση στο ζήτημα, όπως ορθά διατυπώθηκε από το πρωτόδικο Δικαστήριο.  Ούτε ότι είναι συνεναγόμενος των δύο εταιρειών στην προαναφερθείσα αγωγή και αναφερόταν στο διάταγμα που είχε εκδοθεί, μπορούσε να του αποδώσει το αναγκαίο βάθρο για να επιδιώξει το προνομιακό ένταλμα</w:t>
      </w:r>
      <w:r w:rsidR="00722E7F">
        <w:rPr>
          <w:rFonts w:ascii="Arial" w:hAnsi="Arial" w:cs="Arial"/>
          <w:color w:val="000000"/>
          <w:sz w:val="28"/>
          <w:szCs w:val="28"/>
          <w:lang w:val="el-GR"/>
        </w:rPr>
        <w:t xml:space="preserve"> στο οποίο η αίτηση του αποσκοπούσε</w:t>
      </w:r>
      <w:r>
        <w:rPr>
          <w:rFonts w:ascii="Arial" w:hAnsi="Arial" w:cs="Arial"/>
          <w:color w:val="000000"/>
          <w:sz w:val="28"/>
          <w:szCs w:val="28"/>
          <w:lang w:val="el-GR"/>
        </w:rPr>
        <w:t xml:space="preserve">. </w:t>
      </w:r>
      <w:r w:rsidR="00722E7F">
        <w:rPr>
          <w:rFonts w:ascii="Arial" w:hAnsi="Arial" w:cs="Arial"/>
          <w:color w:val="000000"/>
          <w:sz w:val="28"/>
          <w:szCs w:val="28"/>
          <w:lang w:val="el-GR"/>
        </w:rPr>
        <w:t xml:space="preserve"> </w:t>
      </w:r>
      <w:r w:rsidR="00FB6453">
        <w:rPr>
          <w:rFonts w:ascii="Arial" w:hAnsi="Arial" w:cs="Arial"/>
          <w:color w:val="000000"/>
          <w:sz w:val="28"/>
          <w:szCs w:val="28"/>
          <w:lang w:val="el-GR"/>
        </w:rPr>
        <w:t>Το γεγονός ό</w:t>
      </w:r>
      <w:r w:rsidR="00722E7F">
        <w:rPr>
          <w:rFonts w:ascii="Arial" w:hAnsi="Arial" w:cs="Arial"/>
          <w:color w:val="000000"/>
          <w:sz w:val="28"/>
          <w:szCs w:val="28"/>
          <w:lang w:val="el-GR"/>
        </w:rPr>
        <w:t xml:space="preserve">τι ο ίδιος, ενόρκως δήλωνε ότι είχε συμφέρον, δεν ήταν δεσμευτικό για το πρωτόδικο Δικαστήριο, που ορθά εξέτασε αν ο Εφεσείων είχε κατά νόμο συμφέρον </w:t>
      </w:r>
      <w:r w:rsidR="00722E7F">
        <w:rPr>
          <w:rFonts w:ascii="Arial" w:hAnsi="Arial" w:cs="Arial"/>
          <w:color w:val="000000"/>
          <w:sz w:val="28"/>
          <w:szCs w:val="28"/>
          <w:lang w:val="el-GR"/>
        </w:rPr>
        <w:lastRenderedPageBreak/>
        <w:t xml:space="preserve">στην επιδίωξη της θεραπείας που αναζητούσε.  Η απόφαση του πρωτόδικου Δικαστηρίου ήταν ορθή.  </w:t>
      </w:r>
    </w:p>
    <w:p w14:paraId="7554DBB5" w14:textId="77777777" w:rsidR="006E0372" w:rsidRDefault="006E0372" w:rsidP="009E2F78">
      <w:pPr>
        <w:spacing w:line="480" w:lineRule="auto"/>
        <w:jc w:val="both"/>
        <w:rPr>
          <w:rFonts w:ascii="Arial" w:hAnsi="Arial" w:cs="Arial"/>
          <w:color w:val="000000"/>
          <w:sz w:val="28"/>
          <w:szCs w:val="28"/>
          <w:lang w:val="el-GR"/>
        </w:rPr>
      </w:pPr>
    </w:p>
    <w:p w14:paraId="18F8573D" w14:textId="2ABEBEB4" w:rsidR="002E4C8C" w:rsidRDefault="00702DFA" w:rsidP="009E2F78">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w:t>
      </w:r>
      <w:r w:rsidR="00722E7F">
        <w:rPr>
          <w:rFonts w:ascii="Arial" w:hAnsi="Arial" w:cs="Arial"/>
          <w:color w:val="000000"/>
          <w:sz w:val="28"/>
          <w:szCs w:val="28"/>
          <w:lang w:val="el-GR"/>
        </w:rPr>
        <w:t xml:space="preserve">Όπως βέβαια υπονόησε και το πρωτόδικο Δικαστήριο, αιτητής θα μπορούσε να ήταν οι εταιρείες, η κάθε μια για τη δική της περιουσία.  Και στην περίπτωση που ο Εφεσείων μπορούσε να ελέγχει τις αποφάσεις των διοικητικών τους συμβουλίων, χωρίς άλλες επιπλοκές, να </w:t>
      </w:r>
      <w:r w:rsidR="00D10E43">
        <w:rPr>
          <w:rFonts w:ascii="Arial" w:hAnsi="Arial" w:cs="Arial"/>
          <w:color w:val="000000"/>
          <w:sz w:val="28"/>
          <w:szCs w:val="28"/>
          <w:lang w:val="el-GR"/>
        </w:rPr>
        <w:t>είχαν δοθεί</w:t>
      </w:r>
      <w:r w:rsidR="00722E7F">
        <w:rPr>
          <w:rFonts w:ascii="Arial" w:hAnsi="Arial" w:cs="Arial"/>
          <w:color w:val="000000"/>
          <w:sz w:val="28"/>
          <w:szCs w:val="28"/>
          <w:lang w:val="el-GR"/>
        </w:rPr>
        <w:t xml:space="preserve"> οι </w:t>
      </w:r>
      <w:r>
        <w:rPr>
          <w:rFonts w:ascii="Arial" w:hAnsi="Arial" w:cs="Arial"/>
          <w:color w:val="000000"/>
          <w:sz w:val="28"/>
          <w:szCs w:val="28"/>
          <w:lang w:val="el-GR"/>
        </w:rPr>
        <w:t>κατάλληλες οδηγίες.</w:t>
      </w:r>
    </w:p>
    <w:p w14:paraId="3D9E0463" w14:textId="77777777" w:rsidR="00702DFA" w:rsidRDefault="00702DFA" w:rsidP="009E2F78">
      <w:pPr>
        <w:spacing w:line="480" w:lineRule="auto"/>
        <w:jc w:val="both"/>
        <w:rPr>
          <w:rFonts w:ascii="Arial" w:hAnsi="Arial" w:cs="Arial"/>
          <w:color w:val="000000"/>
          <w:sz w:val="28"/>
          <w:szCs w:val="28"/>
          <w:lang w:val="el-GR"/>
        </w:rPr>
      </w:pPr>
    </w:p>
    <w:p w14:paraId="13CF6351" w14:textId="4C527E73" w:rsidR="00702DFA" w:rsidRDefault="00702DFA" w:rsidP="009E2F78">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Ο λόγος έφεσης 1 απορρίπτεται.  Αυτό καθιστά αχρείαστη την ενασχόληση μας με τους υπόλοιπους λόγους έφεσης.</w:t>
      </w:r>
    </w:p>
    <w:p w14:paraId="43CF98FE" w14:textId="77777777" w:rsidR="00702DFA" w:rsidRDefault="00702DFA" w:rsidP="009E2F78">
      <w:pPr>
        <w:spacing w:line="480" w:lineRule="auto"/>
        <w:jc w:val="both"/>
        <w:rPr>
          <w:rFonts w:ascii="Arial" w:hAnsi="Arial" w:cs="Arial"/>
          <w:color w:val="000000"/>
          <w:sz w:val="28"/>
          <w:szCs w:val="28"/>
          <w:lang w:val="el-GR"/>
        </w:rPr>
      </w:pPr>
    </w:p>
    <w:p w14:paraId="6C4D76D5" w14:textId="0124EE18" w:rsidR="006E0372" w:rsidRDefault="00702DFA" w:rsidP="006E0372">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    Η έφεση απορρίπτεται.</w:t>
      </w:r>
    </w:p>
    <w:p w14:paraId="2958D877" w14:textId="77777777" w:rsidR="006E0372" w:rsidRDefault="006E0372" w:rsidP="006E0372">
      <w:pPr>
        <w:spacing w:line="480" w:lineRule="auto"/>
        <w:jc w:val="both"/>
        <w:rPr>
          <w:rFonts w:ascii="Arial" w:hAnsi="Arial" w:cs="Arial"/>
          <w:color w:val="000000"/>
          <w:sz w:val="28"/>
          <w:szCs w:val="28"/>
          <w:lang w:val="el-GR"/>
        </w:rPr>
      </w:pPr>
    </w:p>
    <w:p w14:paraId="48848648" w14:textId="77777777" w:rsidR="006E0372" w:rsidRPr="006E0372" w:rsidRDefault="006E0372" w:rsidP="006E0372">
      <w:pPr>
        <w:spacing w:line="480" w:lineRule="auto"/>
        <w:jc w:val="both"/>
        <w:rPr>
          <w:rFonts w:ascii="Arial" w:hAnsi="Arial" w:cs="Arial"/>
          <w:color w:val="000000"/>
          <w:sz w:val="28"/>
          <w:szCs w:val="28"/>
          <w:lang w:val="el-GR"/>
        </w:rPr>
      </w:pPr>
    </w:p>
    <w:p w14:paraId="6EE510A5" w14:textId="28D4263A" w:rsidR="008E0133" w:rsidRDefault="00DD1248" w:rsidP="006E0372">
      <w:pPr>
        <w:spacing w:line="360" w:lineRule="auto"/>
        <w:ind w:right="702"/>
        <w:rPr>
          <w:rFonts w:ascii="Arial" w:hAnsi="Arial" w:cs="Arial"/>
          <w:sz w:val="28"/>
          <w:szCs w:val="28"/>
          <w:lang w:val="el-GR"/>
        </w:rPr>
      </w:pPr>
      <w:r>
        <w:rPr>
          <w:rFonts w:ascii="Arial" w:hAnsi="Arial" w:cs="Arial"/>
          <w:sz w:val="28"/>
          <w:szCs w:val="28"/>
          <w:lang w:val="el-GR"/>
        </w:rPr>
        <w:t xml:space="preserve">                                                        </w:t>
      </w:r>
      <w:r w:rsidR="008E0133">
        <w:rPr>
          <w:rFonts w:ascii="Arial" w:hAnsi="Arial" w:cs="Arial"/>
          <w:sz w:val="28"/>
          <w:szCs w:val="28"/>
          <w:lang w:val="el-GR"/>
        </w:rPr>
        <w:t>Γ.Ν. Γιασεμής, Δ.</w:t>
      </w:r>
    </w:p>
    <w:p w14:paraId="4F42F705" w14:textId="77777777" w:rsidR="008E0133" w:rsidRDefault="008E0133" w:rsidP="006E0372">
      <w:pPr>
        <w:spacing w:line="360" w:lineRule="auto"/>
        <w:ind w:left="3600" w:right="702" w:firstLine="720"/>
        <w:rPr>
          <w:rFonts w:ascii="Arial" w:hAnsi="Arial" w:cs="Arial"/>
          <w:sz w:val="28"/>
          <w:szCs w:val="28"/>
          <w:lang w:val="el-GR"/>
        </w:rPr>
      </w:pPr>
    </w:p>
    <w:p w14:paraId="328BB8E5" w14:textId="221D0B30" w:rsidR="00BD6F22" w:rsidRDefault="00B10C32" w:rsidP="006E0372">
      <w:pPr>
        <w:spacing w:line="360" w:lineRule="auto"/>
        <w:ind w:left="3600" w:right="702" w:firstLine="720"/>
        <w:rPr>
          <w:rFonts w:ascii="Arial" w:hAnsi="Arial" w:cs="Arial"/>
          <w:sz w:val="28"/>
          <w:szCs w:val="28"/>
          <w:lang w:val="el-GR"/>
        </w:rPr>
      </w:pPr>
      <w:r>
        <w:rPr>
          <w:rFonts w:ascii="Arial" w:hAnsi="Arial" w:cs="Arial"/>
          <w:sz w:val="28"/>
          <w:szCs w:val="28"/>
          <w:lang w:val="el-GR"/>
        </w:rPr>
        <w:t>Χ. Μαλαχτός, Δ.</w:t>
      </w:r>
      <w:r w:rsidR="00271380">
        <w:rPr>
          <w:rFonts w:ascii="Arial" w:hAnsi="Arial" w:cs="Arial"/>
          <w:sz w:val="28"/>
          <w:szCs w:val="28"/>
          <w:lang w:val="el-GR"/>
        </w:rPr>
        <w:t xml:space="preserve">  </w:t>
      </w:r>
    </w:p>
    <w:p w14:paraId="607F22CE" w14:textId="64B0F1F0" w:rsidR="00592D1C" w:rsidRDefault="00592D1C" w:rsidP="006E0372">
      <w:pPr>
        <w:spacing w:line="360" w:lineRule="auto"/>
        <w:ind w:right="702"/>
        <w:jc w:val="center"/>
        <w:rPr>
          <w:rFonts w:ascii="Arial" w:hAnsi="Arial" w:cs="Arial"/>
          <w:sz w:val="28"/>
          <w:szCs w:val="28"/>
          <w:lang w:val="el-GR"/>
        </w:rPr>
      </w:pPr>
    </w:p>
    <w:p w14:paraId="5C73A1D4" w14:textId="24C29FC0" w:rsidR="00592D1C" w:rsidRDefault="00592D1C" w:rsidP="006E0372">
      <w:pPr>
        <w:spacing w:line="36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Ι. Ιωαννίδης, Δ.</w:t>
      </w:r>
    </w:p>
    <w:p w14:paraId="682CFDF9" w14:textId="2ACF8F89" w:rsidR="00592D1C" w:rsidRDefault="00592D1C" w:rsidP="006E0372">
      <w:pPr>
        <w:spacing w:line="360" w:lineRule="auto"/>
        <w:ind w:right="702"/>
        <w:rPr>
          <w:rFonts w:ascii="Arial" w:hAnsi="Arial" w:cs="Arial"/>
          <w:sz w:val="28"/>
          <w:szCs w:val="28"/>
          <w:lang w:val="el-GR"/>
        </w:rPr>
      </w:pPr>
    </w:p>
    <w:p w14:paraId="77C2373C" w14:textId="56BBE0B8" w:rsidR="00592D1C" w:rsidRDefault="00592D1C" w:rsidP="006E0372">
      <w:pPr>
        <w:spacing w:line="36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sidR="00CD2284">
        <w:rPr>
          <w:rFonts w:ascii="Arial" w:hAnsi="Arial" w:cs="Arial"/>
          <w:sz w:val="28"/>
          <w:szCs w:val="28"/>
          <w:lang w:val="el-GR"/>
        </w:rPr>
        <w:t>Ε. Εφραίμ, Δ.</w:t>
      </w:r>
    </w:p>
    <w:p w14:paraId="00A8D7A0" w14:textId="0324BC17" w:rsidR="00CD2284" w:rsidRDefault="00CD2284" w:rsidP="006E0372">
      <w:pPr>
        <w:spacing w:line="360" w:lineRule="auto"/>
        <w:ind w:right="702"/>
        <w:rPr>
          <w:rFonts w:ascii="Arial" w:hAnsi="Arial" w:cs="Arial"/>
          <w:sz w:val="28"/>
          <w:szCs w:val="28"/>
          <w:lang w:val="el-GR"/>
        </w:rPr>
      </w:pPr>
    </w:p>
    <w:p w14:paraId="065305A9" w14:textId="01EBCE1A" w:rsidR="00B710A5" w:rsidRPr="0013254F" w:rsidRDefault="00CD2284" w:rsidP="006E0372">
      <w:pPr>
        <w:spacing w:line="36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Α. Δαυίδ, Δ.</w:t>
      </w:r>
    </w:p>
    <w:sectPr w:rsidR="00B710A5" w:rsidRPr="0013254F" w:rsidSect="00E24BB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AE59" w14:textId="77777777" w:rsidR="00DD2254" w:rsidRDefault="00DD2254" w:rsidP="00E24BB1">
      <w:r>
        <w:separator/>
      </w:r>
    </w:p>
  </w:endnote>
  <w:endnote w:type="continuationSeparator" w:id="0">
    <w:p w14:paraId="5F44B7EA" w14:textId="77777777" w:rsidR="00DD2254" w:rsidRDefault="00DD2254"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F6D5" w14:textId="77777777" w:rsidR="00DD2254" w:rsidRDefault="00DD2254" w:rsidP="00E24BB1">
      <w:r>
        <w:separator/>
      </w:r>
    </w:p>
  </w:footnote>
  <w:footnote w:type="continuationSeparator" w:id="0">
    <w:p w14:paraId="0D05E9DC" w14:textId="77777777" w:rsidR="00DD2254" w:rsidRDefault="00DD2254" w:rsidP="00E2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17003925" w:rsidR="00E24BB1" w:rsidRDefault="00E24BB1">
        <w:pPr>
          <w:pStyle w:val="Header"/>
          <w:jc w:val="center"/>
        </w:pPr>
        <w:r>
          <w:fldChar w:fldCharType="begin"/>
        </w:r>
        <w:r>
          <w:instrText xml:space="preserve"> PAGE   \* MERGEFORMAT </w:instrText>
        </w:r>
        <w:r>
          <w:fldChar w:fldCharType="separate"/>
        </w:r>
        <w:r w:rsidR="001E09A8">
          <w:rPr>
            <w:noProof/>
          </w:rPr>
          <w:t>2</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E176E5"/>
    <w:multiLevelType w:val="hybridMultilevel"/>
    <w:tmpl w:val="777EC0E0"/>
    <w:lvl w:ilvl="0" w:tplc="F65CCD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9DA20D5"/>
    <w:multiLevelType w:val="hybridMultilevel"/>
    <w:tmpl w:val="4EA21B2A"/>
    <w:lvl w:ilvl="0" w:tplc="BEEAC7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732699915">
    <w:abstractNumId w:val="3"/>
  </w:num>
  <w:num w:numId="2" w16cid:durableId="1387413168">
    <w:abstractNumId w:val="0"/>
  </w:num>
  <w:num w:numId="3" w16cid:durableId="380251187">
    <w:abstractNumId w:val="1"/>
  </w:num>
  <w:num w:numId="4" w16cid:durableId="177243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4770"/>
    <w:rsid w:val="000063AC"/>
    <w:rsid w:val="00015D09"/>
    <w:rsid w:val="00017D56"/>
    <w:rsid w:val="0002620B"/>
    <w:rsid w:val="00070F3D"/>
    <w:rsid w:val="00072497"/>
    <w:rsid w:val="000840E6"/>
    <w:rsid w:val="00086535"/>
    <w:rsid w:val="000B2831"/>
    <w:rsid w:val="000B3CD6"/>
    <w:rsid w:val="000C002D"/>
    <w:rsid w:val="000F0825"/>
    <w:rsid w:val="000F6CEB"/>
    <w:rsid w:val="001036E9"/>
    <w:rsid w:val="001111A8"/>
    <w:rsid w:val="00130668"/>
    <w:rsid w:val="0013254F"/>
    <w:rsid w:val="00162B00"/>
    <w:rsid w:val="00170008"/>
    <w:rsid w:val="00173713"/>
    <w:rsid w:val="00190A1F"/>
    <w:rsid w:val="00192ED4"/>
    <w:rsid w:val="001B4E8F"/>
    <w:rsid w:val="001C5A4E"/>
    <w:rsid w:val="001E09A8"/>
    <w:rsid w:val="001E208C"/>
    <w:rsid w:val="001F2014"/>
    <w:rsid w:val="0020012B"/>
    <w:rsid w:val="002032C2"/>
    <w:rsid w:val="002106D9"/>
    <w:rsid w:val="00250930"/>
    <w:rsid w:val="0026245B"/>
    <w:rsid w:val="00271380"/>
    <w:rsid w:val="00272C0B"/>
    <w:rsid w:val="00275BBF"/>
    <w:rsid w:val="002804F7"/>
    <w:rsid w:val="002971B8"/>
    <w:rsid w:val="002A1D0A"/>
    <w:rsid w:val="002B1606"/>
    <w:rsid w:val="002C1582"/>
    <w:rsid w:val="002D3D06"/>
    <w:rsid w:val="002E0331"/>
    <w:rsid w:val="002E4C8C"/>
    <w:rsid w:val="002F2B7F"/>
    <w:rsid w:val="002F60FA"/>
    <w:rsid w:val="003077AC"/>
    <w:rsid w:val="00310756"/>
    <w:rsid w:val="00311412"/>
    <w:rsid w:val="00321C76"/>
    <w:rsid w:val="00334CAD"/>
    <w:rsid w:val="00350051"/>
    <w:rsid w:val="003870E9"/>
    <w:rsid w:val="00395FA1"/>
    <w:rsid w:val="003A6661"/>
    <w:rsid w:val="003E0951"/>
    <w:rsid w:val="003E3525"/>
    <w:rsid w:val="004061DE"/>
    <w:rsid w:val="00436947"/>
    <w:rsid w:val="004613D1"/>
    <w:rsid w:val="00462169"/>
    <w:rsid w:val="004640DF"/>
    <w:rsid w:val="00464B49"/>
    <w:rsid w:val="004971C6"/>
    <w:rsid w:val="004A200E"/>
    <w:rsid w:val="004D73DE"/>
    <w:rsid w:val="004E31D2"/>
    <w:rsid w:val="005021B4"/>
    <w:rsid w:val="00511D16"/>
    <w:rsid w:val="0051211E"/>
    <w:rsid w:val="00516895"/>
    <w:rsid w:val="0052332E"/>
    <w:rsid w:val="00553418"/>
    <w:rsid w:val="00565929"/>
    <w:rsid w:val="005857DB"/>
    <w:rsid w:val="00592D1C"/>
    <w:rsid w:val="005947E6"/>
    <w:rsid w:val="005A3C52"/>
    <w:rsid w:val="005A4BAB"/>
    <w:rsid w:val="005B02AB"/>
    <w:rsid w:val="005B7ADC"/>
    <w:rsid w:val="005D12A9"/>
    <w:rsid w:val="005E4A89"/>
    <w:rsid w:val="005E7901"/>
    <w:rsid w:val="00600306"/>
    <w:rsid w:val="00602A93"/>
    <w:rsid w:val="00620FB6"/>
    <w:rsid w:val="0063678E"/>
    <w:rsid w:val="00650E42"/>
    <w:rsid w:val="006618A3"/>
    <w:rsid w:val="0066531E"/>
    <w:rsid w:val="0068371E"/>
    <w:rsid w:val="006A5ABC"/>
    <w:rsid w:val="006C5DC1"/>
    <w:rsid w:val="006E02F6"/>
    <w:rsid w:val="006E0372"/>
    <w:rsid w:val="00700560"/>
    <w:rsid w:val="00702DFA"/>
    <w:rsid w:val="00703F76"/>
    <w:rsid w:val="00705095"/>
    <w:rsid w:val="00705351"/>
    <w:rsid w:val="00710258"/>
    <w:rsid w:val="007133C0"/>
    <w:rsid w:val="007155E7"/>
    <w:rsid w:val="00722E7F"/>
    <w:rsid w:val="00724708"/>
    <w:rsid w:val="00726B51"/>
    <w:rsid w:val="00745B5A"/>
    <w:rsid w:val="00753C13"/>
    <w:rsid w:val="00754304"/>
    <w:rsid w:val="00766449"/>
    <w:rsid w:val="0076647A"/>
    <w:rsid w:val="007674FA"/>
    <w:rsid w:val="007719CC"/>
    <w:rsid w:val="00777375"/>
    <w:rsid w:val="007821BB"/>
    <w:rsid w:val="007A2087"/>
    <w:rsid w:val="007A6C8E"/>
    <w:rsid w:val="007E0BEC"/>
    <w:rsid w:val="007F40B1"/>
    <w:rsid w:val="007F48FE"/>
    <w:rsid w:val="00824555"/>
    <w:rsid w:val="00827429"/>
    <w:rsid w:val="00841622"/>
    <w:rsid w:val="008541BC"/>
    <w:rsid w:val="00876343"/>
    <w:rsid w:val="00883191"/>
    <w:rsid w:val="008939B3"/>
    <w:rsid w:val="008970E5"/>
    <w:rsid w:val="008E0133"/>
    <w:rsid w:val="008E6F62"/>
    <w:rsid w:val="008F2E61"/>
    <w:rsid w:val="00904B4D"/>
    <w:rsid w:val="0091042A"/>
    <w:rsid w:val="009534FD"/>
    <w:rsid w:val="0096422F"/>
    <w:rsid w:val="00966923"/>
    <w:rsid w:val="00981A4A"/>
    <w:rsid w:val="00993994"/>
    <w:rsid w:val="009A0ACE"/>
    <w:rsid w:val="009A3384"/>
    <w:rsid w:val="009B6629"/>
    <w:rsid w:val="009C13DA"/>
    <w:rsid w:val="009C1F47"/>
    <w:rsid w:val="009C5BB1"/>
    <w:rsid w:val="009E0322"/>
    <w:rsid w:val="009E2F78"/>
    <w:rsid w:val="009F515A"/>
    <w:rsid w:val="009F6820"/>
    <w:rsid w:val="00A3061B"/>
    <w:rsid w:val="00A313DF"/>
    <w:rsid w:val="00A44F25"/>
    <w:rsid w:val="00A56F8D"/>
    <w:rsid w:val="00A779F8"/>
    <w:rsid w:val="00A90404"/>
    <w:rsid w:val="00A959AC"/>
    <w:rsid w:val="00AB42C3"/>
    <w:rsid w:val="00AD6E5D"/>
    <w:rsid w:val="00AF0D31"/>
    <w:rsid w:val="00B05F36"/>
    <w:rsid w:val="00B10C32"/>
    <w:rsid w:val="00B11918"/>
    <w:rsid w:val="00B14264"/>
    <w:rsid w:val="00B26915"/>
    <w:rsid w:val="00B47B90"/>
    <w:rsid w:val="00B710A5"/>
    <w:rsid w:val="00B76E51"/>
    <w:rsid w:val="00B95857"/>
    <w:rsid w:val="00B96C0E"/>
    <w:rsid w:val="00BA18A6"/>
    <w:rsid w:val="00BB05D6"/>
    <w:rsid w:val="00BC1986"/>
    <w:rsid w:val="00BD56F1"/>
    <w:rsid w:val="00BD6F22"/>
    <w:rsid w:val="00BD7B8F"/>
    <w:rsid w:val="00BE16BE"/>
    <w:rsid w:val="00BF19A7"/>
    <w:rsid w:val="00BF1D40"/>
    <w:rsid w:val="00BF397E"/>
    <w:rsid w:val="00C24EE2"/>
    <w:rsid w:val="00C25645"/>
    <w:rsid w:val="00C35D14"/>
    <w:rsid w:val="00C437CB"/>
    <w:rsid w:val="00C45B47"/>
    <w:rsid w:val="00C461F7"/>
    <w:rsid w:val="00C56195"/>
    <w:rsid w:val="00C94242"/>
    <w:rsid w:val="00CC3992"/>
    <w:rsid w:val="00CC4144"/>
    <w:rsid w:val="00CD2284"/>
    <w:rsid w:val="00CE0A2F"/>
    <w:rsid w:val="00CE5B3B"/>
    <w:rsid w:val="00CF3247"/>
    <w:rsid w:val="00D075AB"/>
    <w:rsid w:val="00D10E43"/>
    <w:rsid w:val="00D3005E"/>
    <w:rsid w:val="00D33BB4"/>
    <w:rsid w:val="00D40C48"/>
    <w:rsid w:val="00D429DD"/>
    <w:rsid w:val="00D50D36"/>
    <w:rsid w:val="00D52BD6"/>
    <w:rsid w:val="00D602E1"/>
    <w:rsid w:val="00D625A7"/>
    <w:rsid w:val="00D64C19"/>
    <w:rsid w:val="00D66E5D"/>
    <w:rsid w:val="00D678F7"/>
    <w:rsid w:val="00DA5A62"/>
    <w:rsid w:val="00DA6E52"/>
    <w:rsid w:val="00DB2727"/>
    <w:rsid w:val="00DC1B52"/>
    <w:rsid w:val="00DD0FBA"/>
    <w:rsid w:val="00DD1248"/>
    <w:rsid w:val="00DD1D7C"/>
    <w:rsid w:val="00DD2254"/>
    <w:rsid w:val="00DD54A7"/>
    <w:rsid w:val="00DE4D75"/>
    <w:rsid w:val="00DE56E5"/>
    <w:rsid w:val="00DE6CC1"/>
    <w:rsid w:val="00DF0AC2"/>
    <w:rsid w:val="00E0638E"/>
    <w:rsid w:val="00E126EF"/>
    <w:rsid w:val="00E24BB1"/>
    <w:rsid w:val="00E42796"/>
    <w:rsid w:val="00E477BE"/>
    <w:rsid w:val="00E5079A"/>
    <w:rsid w:val="00E524A8"/>
    <w:rsid w:val="00E529E9"/>
    <w:rsid w:val="00E83FC6"/>
    <w:rsid w:val="00E96715"/>
    <w:rsid w:val="00EA25FF"/>
    <w:rsid w:val="00EA7874"/>
    <w:rsid w:val="00EC2A77"/>
    <w:rsid w:val="00EC389B"/>
    <w:rsid w:val="00ED45C0"/>
    <w:rsid w:val="00EE7FDB"/>
    <w:rsid w:val="00F05464"/>
    <w:rsid w:val="00F1626C"/>
    <w:rsid w:val="00F30F6C"/>
    <w:rsid w:val="00F41B5A"/>
    <w:rsid w:val="00F90361"/>
    <w:rsid w:val="00F940CD"/>
    <w:rsid w:val="00F9412A"/>
    <w:rsid w:val="00F97FF2"/>
    <w:rsid w:val="00FB4A29"/>
    <w:rsid w:val="00FB6453"/>
    <w:rsid w:val="00FB7AFF"/>
    <w:rsid w:val="00FD2D75"/>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 w:type="paragraph" w:customStyle="1" w:styleId="bodytext200">
    <w:name w:val="bodytext20"/>
    <w:basedOn w:val="Normal"/>
    <w:rsid w:val="00B710A5"/>
    <w:pPr>
      <w:suppressAutoHyphens w:val="0"/>
      <w:autoSpaceDN/>
      <w:spacing w:before="100" w:beforeAutospacing="1" w:after="100" w:afterAutospacing="1"/>
    </w:pPr>
    <w:rPr>
      <w:lang w:val="el-GR" w:eastAsia="el-GR"/>
    </w:rPr>
  </w:style>
  <w:style w:type="paragraph" w:customStyle="1" w:styleId="indent1">
    <w:name w:val="indent1"/>
    <w:basedOn w:val="Normal"/>
    <w:rsid w:val="00B710A5"/>
    <w:pPr>
      <w:suppressAutoHyphens w:val="0"/>
      <w:autoSpaceDN/>
      <w:spacing w:before="100" w:beforeAutospacing="1" w:after="100" w:afterAutospacing="1"/>
    </w:pPr>
    <w:rPr>
      <w:lang w:val="el-GR" w:eastAsia="el-GR"/>
    </w:rPr>
  </w:style>
  <w:style w:type="character" w:styleId="FollowedHyperlink">
    <w:name w:val="FollowedHyperlink"/>
    <w:basedOn w:val="DefaultParagraphFont"/>
    <w:uiPriority w:val="99"/>
    <w:semiHidden/>
    <w:unhideWhenUsed/>
    <w:rsid w:val="005A4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203296202">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15368297">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526064306">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724451056">
      <w:bodyDiv w:val="1"/>
      <w:marLeft w:val="0"/>
      <w:marRight w:val="0"/>
      <w:marTop w:val="0"/>
      <w:marBottom w:val="0"/>
      <w:divBdr>
        <w:top w:val="none" w:sz="0" w:space="0" w:color="auto"/>
        <w:left w:val="none" w:sz="0" w:space="0" w:color="auto"/>
        <w:bottom w:val="none" w:sz="0" w:space="0" w:color="auto"/>
        <w:right w:val="none" w:sz="0" w:space="0" w:color="auto"/>
      </w:divBdr>
    </w:div>
    <w:div w:id="828709410">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18907053">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069041754">
      <w:bodyDiv w:val="1"/>
      <w:marLeft w:val="0"/>
      <w:marRight w:val="0"/>
      <w:marTop w:val="0"/>
      <w:marBottom w:val="0"/>
      <w:divBdr>
        <w:top w:val="none" w:sz="0" w:space="0" w:color="auto"/>
        <w:left w:val="none" w:sz="0" w:space="0" w:color="auto"/>
        <w:bottom w:val="none" w:sz="0" w:space="0" w:color="auto"/>
        <w:right w:val="none" w:sz="0" w:space="0" w:color="auto"/>
      </w:divBdr>
    </w:div>
    <w:div w:id="1070078728">
      <w:bodyDiv w:val="1"/>
      <w:marLeft w:val="0"/>
      <w:marRight w:val="0"/>
      <w:marTop w:val="0"/>
      <w:marBottom w:val="0"/>
      <w:divBdr>
        <w:top w:val="none" w:sz="0" w:space="0" w:color="auto"/>
        <w:left w:val="none" w:sz="0" w:space="0" w:color="auto"/>
        <w:bottom w:val="none" w:sz="0" w:space="0" w:color="auto"/>
        <w:right w:val="none" w:sz="0" w:space="0" w:color="auto"/>
      </w:divBdr>
    </w:div>
    <w:div w:id="1075662251">
      <w:bodyDiv w:val="1"/>
      <w:marLeft w:val="0"/>
      <w:marRight w:val="0"/>
      <w:marTop w:val="0"/>
      <w:marBottom w:val="0"/>
      <w:divBdr>
        <w:top w:val="none" w:sz="0" w:space="0" w:color="auto"/>
        <w:left w:val="none" w:sz="0" w:space="0" w:color="auto"/>
        <w:bottom w:val="none" w:sz="0" w:space="0" w:color="auto"/>
        <w:right w:val="none" w:sz="0" w:space="0" w:color="auto"/>
      </w:divBdr>
      <w:divsChild>
        <w:div w:id="1855798274">
          <w:marLeft w:val="0"/>
          <w:marRight w:val="0"/>
          <w:marTop w:val="0"/>
          <w:marBottom w:val="0"/>
          <w:divBdr>
            <w:top w:val="none" w:sz="0" w:space="0" w:color="auto"/>
            <w:left w:val="none" w:sz="0" w:space="0" w:color="auto"/>
            <w:bottom w:val="none" w:sz="0" w:space="0" w:color="auto"/>
            <w:right w:val="none" w:sz="0" w:space="0" w:color="auto"/>
          </w:divBdr>
          <w:divsChild>
            <w:div w:id="2130856490">
              <w:marLeft w:val="0"/>
              <w:marRight w:val="0"/>
              <w:marTop w:val="0"/>
              <w:marBottom w:val="0"/>
              <w:divBdr>
                <w:top w:val="none" w:sz="0" w:space="0" w:color="auto"/>
                <w:left w:val="none" w:sz="0" w:space="0" w:color="auto"/>
                <w:bottom w:val="none" w:sz="0" w:space="0" w:color="auto"/>
                <w:right w:val="none" w:sz="0" w:space="0" w:color="auto"/>
              </w:divBdr>
            </w:div>
            <w:div w:id="1378050047">
              <w:marLeft w:val="0"/>
              <w:marRight w:val="0"/>
              <w:marTop w:val="0"/>
              <w:marBottom w:val="0"/>
              <w:divBdr>
                <w:top w:val="none" w:sz="0" w:space="0" w:color="auto"/>
                <w:left w:val="none" w:sz="0" w:space="0" w:color="auto"/>
                <w:bottom w:val="none" w:sz="0" w:space="0" w:color="auto"/>
                <w:right w:val="none" w:sz="0" w:space="0" w:color="auto"/>
              </w:divBdr>
            </w:div>
            <w:div w:id="1613054947">
              <w:marLeft w:val="0"/>
              <w:marRight w:val="0"/>
              <w:marTop w:val="0"/>
              <w:marBottom w:val="0"/>
              <w:divBdr>
                <w:top w:val="none" w:sz="0" w:space="0" w:color="auto"/>
                <w:left w:val="none" w:sz="0" w:space="0" w:color="auto"/>
                <w:bottom w:val="none" w:sz="0" w:space="0" w:color="auto"/>
                <w:right w:val="none" w:sz="0" w:space="0" w:color="auto"/>
              </w:divBdr>
            </w:div>
            <w:div w:id="5905075">
              <w:marLeft w:val="0"/>
              <w:marRight w:val="0"/>
              <w:marTop w:val="0"/>
              <w:marBottom w:val="0"/>
              <w:divBdr>
                <w:top w:val="none" w:sz="0" w:space="0" w:color="auto"/>
                <w:left w:val="none" w:sz="0" w:space="0" w:color="auto"/>
                <w:bottom w:val="none" w:sz="0" w:space="0" w:color="auto"/>
                <w:right w:val="none" w:sz="0" w:space="0" w:color="auto"/>
              </w:divBdr>
            </w:div>
            <w:div w:id="1562862395">
              <w:marLeft w:val="0"/>
              <w:marRight w:val="0"/>
              <w:marTop w:val="0"/>
              <w:marBottom w:val="0"/>
              <w:divBdr>
                <w:top w:val="none" w:sz="0" w:space="0" w:color="auto"/>
                <w:left w:val="none" w:sz="0" w:space="0" w:color="auto"/>
                <w:bottom w:val="none" w:sz="0" w:space="0" w:color="auto"/>
                <w:right w:val="none" w:sz="0" w:space="0" w:color="auto"/>
              </w:divBdr>
            </w:div>
            <w:div w:id="1727485552">
              <w:marLeft w:val="0"/>
              <w:marRight w:val="0"/>
              <w:marTop w:val="0"/>
              <w:marBottom w:val="0"/>
              <w:divBdr>
                <w:top w:val="none" w:sz="0" w:space="0" w:color="auto"/>
                <w:left w:val="none" w:sz="0" w:space="0" w:color="auto"/>
                <w:bottom w:val="none" w:sz="0" w:space="0" w:color="auto"/>
                <w:right w:val="none" w:sz="0" w:space="0" w:color="auto"/>
              </w:divBdr>
            </w:div>
            <w:div w:id="569661251">
              <w:marLeft w:val="0"/>
              <w:marRight w:val="0"/>
              <w:marTop w:val="0"/>
              <w:marBottom w:val="0"/>
              <w:divBdr>
                <w:top w:val="none" w:sz="0" w:space="0" w:color="auto"/>
                <w:left w:val="none" w:sz="0" w:space="0" w:color="auto"/>
                <w:bottom w:val="none" w:sz="0" w:space="0" w:color="auto"/>
                <w:right w:val="none" w:sz="0" w:space="0" w:color="auto"/>
              </w:divBdr>
            </w:div>
            <w:div w:id="12976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58639101">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589268729">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946114529">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60353204">
      <w:bodyDiv w:val="1"/>
      <w:marLeft w:val="0"/>
      <w:marRight w:val="0"/>
      <w:marTop w:val="0"/>
      <w:marBottom w:val="0"/>
      <w:divBdr>
        <w:top w:val="none" w:sz="0" w:space="0" w:color="auto"/>
        <w:left w:val="none" w:sz="0" w:space="0" w:color="auto"/>
        <w:bottom w:val="none" w:sz="0" w:space="0" w:color="auto"/>
        <w:right w:val="none" w:sz="0" w:space="0" w:color="auto"/>
      </w:divBdr>
    </w:div>
    <w:div w:id="2089887082">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non-ind/0_224/ful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E644-DDE0-4330-BC8A-BDD36117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Marilia Hadjiprodromou</cp:lastModifiedBy>
  <cp:revision>3</cp:revision>
  <cp:lastPrinted>2023-10-19T06:04:00Z</cp:lastPrinted>
  <dcterms:created xsi:type="dcterms:W3CDTF">2023-10-24T05:05:00Z</dcterms:created>
  <dcterms:modified xsi:type="dcterms:W3CDTF">2023-10-24T05:05:00Z</dcterms:modified>
</cp:coreProperties>
</file>